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659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5"/>
      </w:tblGrid>
      <w:tr w:rsidR="00522706" w:rsidRPr="00193082" w:rsidTr="00522706">
        <w:trPr>
          <w:trHeight w:val="1824"/>
        </w:trPr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 w:rsidR="00522706" w:rsidRPr="00193082" w:rsidRDefault="00522706" w:rsidP="00522706">
            <w:pPr>
              <w:jc w:val="center"/>
              <w:rPr>
                <w:rFonts w:ascii="Times New Roman" w:hAnsi="Times New Roman" w:cs="Times New Roman"/>
                <w:b/>
                <w:iCs/>
                <w:lang w:val="sq-AL"/>
              </w:rPr>
            </w:pPr>
            <w:r w:rsidRPr="0019308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4572000</wp:posOffset>
                  </wp:positionH>
                  <wp:positionV relativeFrom="paragraph">
                    <wp:posOffset>109220</wp:posOffset>
                  </wp:positionV>
                  <wp:extent cx="989330" cy="1033145"/>
                  <wp:effectExtent l="19050" t="0" r="1270" b="0"/>
                  <wp:wrapNone/>
                  <wp:docPr id="1" name="Picture 1" descr="Image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1033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22706" w:rsidRPr="00193082" w:rsidRDefault="00522706" w:rsidP="00522706">
            <w:pPr>
              <w:jc w:val="center"/>
              <w:rPr>
                <w:rFonts w:ascii="Times New Roman" w:hAnsi="Times New Roman" w:cs="Times New Roman"/>
                <w:b/>
                <w:iCs/>
                <w:lang w:val="sq-AL"/>
              </w:rPr>
            </w:pPr>
            <w:r w:rsidRPr="0019308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0</wp:posOffset>
                  </wp:positionV>
                  <wp:extent cx="756285" cy="852805"/>
                  <wp:effectExtent l="19050" t="0" r="5715" b="0"/>
                  <wp:wrapNone/>
                  <wp:docPr id="2" name="Picture 2" descr="Logoe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e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852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3082">
              <w:rPr>
                <w:rFonts w:ascii="Times New Roman" w:hAnsi="Times New Roman" w:cs="Times New Roman"/>
                <w:b/>
                <w:iCs/>
                <w:lang w:val="sq-AL"/>
              </w:rPr>
              <w:t>Republika e Kosovës – Kosova Cumhuriyeti</w:t>
            </w:r>
          </w:p>
          <w:p w:rsidR="00522706" w:rsidRPr="00193082" w:rsidRDefault="00522706" w:rsidP="00522706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b/>
                <w:iCs/>
                <w:lang w:val="sq-AL"/>
              </w:rPr>
            </w:pPr>
            <w:r w:rsidRPr="00193082">
              <w:rPr>
                <w:rFonts w:ascii="Times New Roman" w:hAnsi="Times New Roman" w:cs="Times New Roman"/>
                <w:b/>
                <w:iCs/>
                <w:lang w:val="sq-AL"/>
              </w:rPr>
              <w:t>Republika Kosova – Republic of Kosovo</w:t>
            </w:r>
          </w:p>
          <w:p w:rsidR="00522706" w:rsidRPr="00193082" w:rsidRDefault="00522706" w:rsidP="00522706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b/>
                <w:iCs/>
                <w:lang w:val="sq-AL"/>
              </w:rPr>
            </w:pPr>
          </w:p>
          <w:p w:rsidR="00522706" w:rsidRPr="00193082" w:rsidRDefault="00522706" w:rsidP="00522706">
            <w:pPr>
              <w:jc w:val="center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193082">
              <w:rPr>
                <w:rFonts w:ascii="Times New Roman" w:hAnsi="Times New Roman" w:cs="Times New Roman"/>
                <w:b/>
                <w:bCs/>
                <w:lang w:val="sq-AL"/>
              </w:rPr>
              <w:t>Mamuşa Belediyesi – Komuna e Mamushës</w:t>
            </w:r>
          </w:p>
          <w:p w:rsidR="00522706" w:rsidRPr="00193082" w:rsidRDefault="00522706" w:rsidP="00522706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193082">
              <w:rPr>
                <w:rFonts w:ascii="Times New Roman" w:hAnsi="Times New Roman" w:cs="Times New Roman"/>
                <w:b/>
                <w:bCs/>
                <w:lang w:val="sq-AL"/>
              </w:rPr>
              <w:t>Opština  Mamuša – Municipality Of Mamusa</w:t>
            </w:r>
          </w:p>
        </w:tc>
      </w:tr>
    </w:tbl>
    <w:p w:rsidR="0050456B" w:rsidRPr="00193082" w:rsidRDefault="0050456B" w:rsidP="0050456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lang w:val="sq-AL"/>
        </w:rPr>
      </w:pPr>
    </w:p>
    <w:tbl>
      <w:tblPr>
        <w:tblStyle w:val="TableGrid"/>
        <w:tblpPr w:leftFromText="180" w:rightFromText="180" w:vertAnchor="text" w:horzAnchor="margin" w:tblpY="144"/>
        <w:tblW w:w="9355" w:type="dxa"/>
        <w:tblLook w:val="04A0" w:firstRow="1" w:lastRow="0" w:firstColumn="1" w:lastColumn="0" w:noHBand="0" w:noVBand="1"/>
      </w:tblPr>
      <w:tblGrid>
        <w:gridCol w:w="925"/>
        <w:gridCol w:w="8430"/>
      </w:tblGrid>
      <w:tr w:rsidR="00136C63" w:rsidRPr="00193082" w:rsidTr="00136C63">
        <w:tc>
          <w:tcPr>
            <w:tcW w:w="805" w:type="dxa"/>
          </w:tcPr>
          <w:p w:rsidR="00136C63" w:rsidRPr="00193082" w:rsidRDefault="00867D13" w:rsidP="00136C63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Kimin için</w:t>
            </w:r>
          </w:p>
        </w:tc>
        <w:tc>
          <w:tcPr>
            <w:tcW w:w="8550" w:type="dxa"/>
          </w:tcPr>
          <w:p w:rsidR="00D618F2" w:rsidRDefault="00F137A0" w:rsidP="00D618F2">
            <w:pPr>
              <w:rPr>
                <w:rFonts w:ascii="Times New Roman" w:hAnsi="Times New Roman" w:cs="Times New Roman"/>
                <w:bCs/>
                <w:lang w:val="sq-AL"/>
              </w:rPr>
            </w:pPr>
            <w:r w:rsidRPr="00193082">
              <w:rPr>
                <w:rFonts w:ascii="Times New Roman" w:hAnsi="Times New Roman" w:cs="Times New Roman"/>
                <w:bCs/>
                <w:lang w:val="sq-AL"/>
              </w:rPr>
              <w:t>z</w:t>
            </w:r>
            <w:r w:rsidR="00C94188" w:rsidRPr="00193082">
              <w:rPr>
                <w:rFonts w:ascii="Times New Roman" w:hAnsi="Times New Roman" w:cs="Times New Roman"/>
                <w:bCs/>
                <w:lang w:val="sq-AL"/>
              </w:rPr>
              <w:t>nj.</w:t>
            </w:r>
            <w:r w:rsidR="00D618F2">
              <w:rPr>
                <w:rFonts w:ascii="Times New Roman" w:hAnsi="Times New Roman" w:cs="Times New Roman"/>
                <w:bCs/>
                <w:lang w:val="sq-AL"/>
              </w:rPr>
              <w:t>Shehrije Shala-Aliu</w:t>
            </w:r>
            <w:r w:rsidR="00331C32" w:rsidRPr="00193082">
              <w:rPr>
                <w:rFonts w:ascii="Times New Roman" w:hAnsi="Times New Roman" w:cs="Times New Roman"/>
                <w:bCs/>
                <w:lang w:val="sq-AL"/>
              </w:rPr>
              <w:t xml:space="preserve">, </w:t>
            </w:r>
            <w:r w:rsidR="00D618F2">
              <w:t xml:space="preserve"> </w:t>
            </w:r>
            <w:r w:rsidR="00D618F2" w:rsidRPr="00D618F2">
              <w:rPr>
                <w:rFonts w:ascii="Times New Roman" w:hAnsi="Times New Roman" w:cs="Times New Roman"/>
                <w:bCs/>
                <w:lang w:val="sq-AL"/>
              </w:rPr>
              <w:t xml:space="preserve">Mali Denetim ve Uyum Departmanı </w:t>
            </w:r>
            <w:r w:rsidR="00D618F2">
              <w:rPr>
                <w:rFonts w:ascii="Times New Roman" w:hAnsi="Times New Roman" w:cs="Times New Roman"/>
                <w:bCs/>
                <w:lang w:val="sq-AL"/>
              </w:rPr>
              <w:t>Müdü</w:t>
            </w:r>
            <w:r w:rsidR="00D618F2" w:rsidRPr="00D618F2">
              <w:rPr>
                <w:rFonts w:ascii="Times New Roman" w:hAnsi="Times New Roman" w:cs="Times New Roman"/>
                <w:bCs/>
                <w:lang w:val="sq-AL"/>
              </w:rPr>
              <w:t>rü - Ulusal Denetim Ofisi</w:t>
            </w:r>
          </w:p>
          <w:p w:rsidR="00136C63" w:rsidRPr="00193082" w:rsidRDefault="00D618F2" w:rsidP="00D618F2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Sn</w:t>
            </w:r>
            <w:r w:rsidR="00A92EFF" w:rsidRPr="00193082">
              <w:rPr>
                <w:rFonts w:ascii="Times New Roman" w:hAnsi="Times New Roman" w:cs="Times New Roman"/>
                <w:lang w:val="sq-AL"/>
              </w:rPr>
              <w:t>.Agmi Krasniqi</w:t>
            </w:r>
            <w:r w:rsidR="00F137A0" w:rsidRPr="00193082">
              <w:rPr>
                <w:rFonts w:ascii="Times New Roman" w:hAnsi="Times New Roman" w:cs="Times New Roman"/>
                <w:lang w:val="sq-AL"/>
              </w:rPr>
              <w:t xml:space="preserve">, </w:t>
            </w:r>
            <w:r w:rsidR="00867D13">
              <w:t xml:space="preserve"> </w:t>
            </w:r>
            <w:r w:rsidR="00867D13" w:rsidRPr="00867D13">
              <w:rPr>
                <w:rFonts w:ascii="Times New Roman" w:hAnsi="Times New Roman" w:cs="Times New Roman"/>
                <w:lang w:val="sq-AL"/>
              </w:rPr>
              <w:t xml:space="preserve">Merkezi Uyumlaştırma Daire Başkanı </w:t>
            </w:r>
            <w:r w:rsidR="00867D13">
              <w:rPr>
                <w:rFonts w:ascii="Times New Roman" w:hAnsi="Times New Roman" w:cs="Times New Roman"/>
                <w:lang w:val="sq-AL"/>
              </w:rPr>
              <w:t>–</w:t>
            </w:r>
            <w:r w:rsidR="00A70949" w:rsidRPr="00193082">
              <w:rPr>
                <w:rFonts w:ascii="Times New Roman" w:hAnsi="Times New Roman" w:cs="Times New Roman"/>
                <w:lang w:val="sq-AL"/>
              </w:rPr>
              <w:t xml:space="preserve"> M</w:t>
            </w:r>
            <w:r w:rsidR="00867D13">
              <w:rPr>
                <w:rFonts w:ascii="Times New Roman" w:hAnsi="Times New Roman" w:cs="Times New Roman"/>
                <w:lang w:val="tr-TR"/>
              </w:rPr>
              <w:t>ÇTB</w:t>
            </w:r>
          </w:p>
        </w:tc>
      </w:tr>
      <w:tr w:rsidR="00136C63" w:rsidRPr="00193082" w:rsidTr="00136C63">
        <w:tc>
          <w:tcPr>
            <w:tcW w:w="805" w:type="dxa"/>
          </w:tcPr>
          <w:p w:rsidR="00136C63" w:rsidRPr="00193082" w:rsidRDefault="00136C63" w:rsidP="00867D13">
            <w:pPr>
              <w:rPr>
                <w:rFonts w:ascii="Times New Roman" w:hAnsi="Times New Roman" w:cs="Times New Roman"/>
                <w:lang w:val="sq-AL"/>
              </w:rPr>
            </w:pPr>
            <w:r w:rsidRPr="00193082">
              <w:rPr>
                <w:rFonts w:ascii="Times New Roman" w:hAnsi="Times New Roman" w:cs="Times New Roman"/>
                <w:lang w:val="sq-AL"/>
              </w:rPr>
              <w:t>Kop</w:t>
            </w:r>
            <w:r w:rsidR="00867D13">
              <w:rPr>
                <w:rFonts w:ascii="Times New Roman" w:hAnsi="Times New Roman" w:cs="Times New Roman"/>
                <w:lang w:val="sq-AL"/>
              </w:rPr>
              <w:t>ya</w:t>
            </w:r>
          </w:p>
        </w:tc>
        <w:tc>
          <w:tcPr>
            <w:tcW w:w="8550" w:type="dxa"/>
          </w:tcPr>
          <w:p w:rsidR="00136C63" w:rsidRPr="00193082" w:rsidRDefault="00D618F2" w:rsidP="00136C63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Sn. Necmedin Morina</w:t>
            </w:r>
            <w:r w:rsidR="00136C63" w:rsidRPr="00193082">
              <w:rPr>
                <w:rFonts w:ascii="Times New Roman" w:hAnsi="Times New Roman" w:cs="Times New Roman"/>
                <w:lang w:val="sq-AL"/>
              </w:rPr>
              <w:t xml:space="preserve">, </w:t>
            </w:r>
            <w:r w:rsidR="00867D13">
              <w:rPr>
                <w:rFonts w:ascii="Times New Roman" w:hAnsi="Times New Roman" w:cs="Times New Roman"/>
                <w:lang w:val="sq-AL"/>
              </w:rPr>
              <w:t xml:space="preserve">Mamuşa Belediyesi Meclis Başkanı </w:t>
            </w:r>
          </w:p>
          <w:p w:rsidR="00136C63" w:rsidRPr="00193082" w:rsidRDefault="00136C63" w:rsidP="00136C63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136C63" w:rsidRPr="00193082" w:rsidTr="00136C63">
        <w:tc>
          <w:tcPr>
            <w:tcW w:w="805" w:type="dxa"/>
          </w:tcPr>
          <w:p w:rsidR="00136C63" w:rsidRPr="00193082" w:rsidRDefault="00867D13" w:rsidP="00136C63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Kimden</w:t>
            </w:r>
          </w:p>
        </w:tc>
        <w:tc>
          <w:tcPr>
            <w:tcW w:w="8550" w:type="dxa"/>
          </w:tcPr>
          <w:p w:rsidR="00136C63" w:rsidRPr="00193082" w:rsidRDefault="00136C63" w:rsidP="00136C63">
            <w:pPr>
              <w:rPr>
                <w:rFonts w:ascii="Times New Roman" w:hAnsi="Times New Roman" w:cs="Times New Roman"/>
                <w:lang w:val="sq-AL"/>
              </w:rPr>
            </w:pPr>
            <w:r w:rsidRPr="00193082">
              <w:rPr>
                <w:rFonts w:ascii="Times New Roman" w:hAnsi="Times New Roman" w:cs="Times New Roman"/>
                <w:lang w:val="sq-AL"/>
              </w:rPr>
              <w:t xml:space="preserve">Abdülhadi Krasniç, </w:t>
            </w:r>
            <w:r w:rsidR="00867D13">
              <w:t xml:space="preserve"> </w:t>
            </w:r>
            <w:r w:rsidR="00867D13" w:rsidRPr="00867D13">
              <w:rPr>
                <w:rFonts w:ascii="Times New Roman" w:hAnsi="Times New Roman" w:cs="Times New Roman"/>
                <w:lang w:val="sq-AL"/>
              </w:rPr>
              <w:t>Mamuşa Belediyesi Başkanı</w:t>
            </w:r>
          </w:p>
          <w:p w:rsidR="00136C63" w:rsidRPr="00193082" w:rsidRDefault="00136C63" w:rsidP="00136C63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136C63" w:rsidRPr="00193082" w:rsidTr="00136C63">
        <w:tc>
          <w:tcPr>
            <w:tcW w:w="805" w:type="dxa"/>
          </w:tcPr>
          <w:p w:rsidR="00136C63" w:rsidRPr="00193082" w:rsidRDefault="00867D13" w:rsidP="00136C63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Tarih</w:t>
            </w:r>
          </w:p>
        </w:tc>
        <w:tc>
          <w:tcPr>
            <w:tcW w:w="8550" w:type="dxa"/>
          </w:tcPr>
          <w:p w:rsidR="00136C63" w:rsidRPr="00193082" w:rsidRDefault="00AF3D66" w:rsidP="00D618F2">
            <w:pPr>
              <w:tabs>
                <w:tab w:val="left" w:pos="1845"/>
              </w:tabs>
              <w:rPr>
                <w:rFonts w:ascii="Times New Roman" w:hAnsi="Times New Roman" w:cs="Times New Roman"/>
                <w:lang w:val="sq-AL"/>
              </w:rPr>
            </w:pPr>
            <w:r w:rsidRPr="00193082">
              <w:rPr>
                <w:rFonts w:ascii="Times New Roman" w:hAnsi="Times New Roman" w:cs="Times New Roman"/>
                <w:lang w:val="sq-AL"/>
              </w:rPr>
              <w:t xml:space="preserve">30 </w:t>
            </w:r>
            <w:r w:rsidR="00867D13">
              <w:rPr>
                <w:rFonts w:ascii="Times New Roman" w:hAnsi="Times New Roman" w:cs="Times New Roman"/>
                <w:lang w:val="sq-AL"/>
              </w:rPr>
              <w:t>Eylül</w:t>
            </w:r>
            <w:r w:rsidR="00F21968" w:rsidRPr="00193082">
              <w:rPr>
                <w:rFonts w:ascii="Times New Roman" w:hAnsi="Times New Roman" w:cs="Times New Roman"/>
                <w:lang w:val="sq-AL"/>
              </w:rPr>
              <w:t xml:space="preserve"> 202</w:t>
            </w:r>
            <w:r w:rsidR="00D618F2">
              <w:rPr>
                <w:rFonts w:ascii="Times New Roman" w:hAnsi="Times New Roman" w:cs="Times New Roman"/>
                <w:lang w:val="sq-AL"/>
              </w:rPr>
              <w:t>2</w:t>
            </w:r>
          </w:p>
        </w:tc>
      </w:tr>
    </w:tbl>
    <w:p w:rsidR="00136C63" w:rsidRPr="00193082" w:rsidRDefault="00136C63" w:rsidP="0050456B">
      <w:pPr>
        <w:jc w:val="center"/>
        <w:rPr>
          <w:rFonts w:ascii="Times New Roman" w:hAnsi="Times New Roman" w:cs="Times New Roman"/>
          <w:lang w:val="sq-AL"/>
        </w:rPr>
      </w:pPr>
    </w:p>
    <w:tbl>
      <w:tblPr>
        <w:tblStyle w:val="TableGrid"/>
        <w:tblpPr w:leftFromText="180" w:rightFromText="180" w:vertAnchor="text" w:horzAnchor="margin" w:tblpY="23"/>
        <w:tblOverlap w:val="never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136C63" w:rsidRPr="00193082" w:rsidTr="00136C63">
        <w:trPr>
          <w:trHeight w:val="1156"/>
        </w:trPr>
        <w:tc>
          <w:tcPr>
            <w:tcW w:w="9355" w:type="dxa"/>
          </w:tcPr>
          <w:p w:rsidR="00136C63" w:rsidRDefault="007556DB" w:rsidP="00136C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556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TAVSİYELERİN UYGULANMASINA İLİŞKİN PERİYODİK RAPOR</w:t>
            </w:r>
          </w:p>
          <w:p w:rsidR="007556DB" w:rsidRPr="00193082" w:rsidRDefault="007556DB" w:rsidP="00136C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C94188" w:rsidRPr="00193082" w:rsidRDefault="007556DB" w:rsidP="00D61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556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Ulusal Denetim Ofisinden 202</w:t>
            </w:r>
            <w:r w:rsidR="00D618F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Pr="007556D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Denetim Raporu verileri</w:t>
            </w:r>
          </w:p>
        </w:tc>
      </w:tr>
    </w:tbl>
    <w:p w:rsidR="00136C63" w:rsidRPr="00193082" w:rsidRDefault="00136C63" w:rsidP="00136C63">
      <w:pPr>
        <w:rPr>
          <w:rFonts w:ascii="Times New Roman" w:hAnsi="Times New Roman" w:cs="Times New Roman"/>
          <w:lang w:val="sq-AL"/>
        </w:rPr>
      </w:pPr>
    </w:p>
    <w:p w:rsidR="00943904" w:rsidRPr="00193082" w:rsidRDefault="00C0050F" w:rsidP="00136C63">
      <w:pPr>
        <w:jc w:val="both"/>
        <w:rPr>
          <w:rFonts w:ascii="Times New Roman" w:hAnsi="Times New Roman" w:cs="Times New Roman"/>
          <w:lang w:val="sq-AL"/>
        </w:rPr>
      </w:pPr>
      <w:r w:rsidRPr="00C0050F">
        <w:rPr>
          <w:rFonts w:ascii="Times New Roman" w:hAnsi="Times New Roman" w:cs="Times New Roman"/>
          <w:lang w:val="sq-AL"/>
        </w:rPr>
        <w:t xml:space="preserve">Haziran 2019 tarihinden itibaren yürürlükte olan denetim ve eylem planlarının uygulanmasına ilişkin </w:t>
      </w:r>
      <w:r w:rsidR="00D618F2">
        <w:rPr>
          <w:rFonts w:ascii="Times New Roman" w:hAnsi="Times New Roman" w:cs="Times New Roman"/>
          <w:lang w:val="sq-AL"/>
        </w:rPr>
        <w:t>Yönetmeliğinin</w:t>
      </w:r>
      <w:r w:rsidRPr="00C0050F">
        <w:rPr>
          <w:rFonts w:ascii="Times New Roman" w:hAnsi="Times New Roman" w:cs="Times New Roman"/>
          <w:lang w:val="sq-AL"/>
        </w:rPr>
        <w:t xml:space="preserve"> 14. maddesinin 5. fıkrası uyarınca;</w:t>
      </w:r>
      <w:r w:rsidRPr="00C0050F">
        <w:t xml:space="preserve"> </w:t>
      </w:r>
      <w:r w:rsidRPr="00C0050F">
        <w:rPr>
          <w:rFonts w:ascii="Times New Roman" w:hAnsi="Times New Roman" w:cs="Times New Roman"/>
          <w:i/>
          <w:lang w:val="sq-AL"/>
        </w:rPr>
        <w:t>Eylem planını hazırladıktan sonra,</w:t>
      </w:r>
      <w:r w:rsidR="00136C63" w:rsidRPr="00193082">
        <w:rPr>
          <w:rFonts w:ascii="Times New Roman" w:hAnsi="Times New Roman" w:cs="Times New Roman"/>
          <w:lang w:val="sq-AL"/>
        </w:rPr>
        <w:t xml:space="preserve"> </w:t>
      </w:r>
      <w:r w:rsidRPr="00C0050F">
        <w:rPr>
          <w:rFonts w:ascii="Times New Roman" w:hAnsi="Times New Roman" w:cs="Times New Roman"/>
          <w:i/>
          <w:lang w:val="sq-AL"/>
        </w:rPr>
        <w:t>denetlenen kurum, Genel Denetçiye ve Genel Kurula/hissedarlara tavsiyelerin uygulanmasındaki ilerleme hakkında raporlar sunar. . 07/12 nolu Hükümet Kararına göre.Raporlar yılda iki kez, sırasıyla 30 Eylül ve 15 Mart'a kadar sunulur</w:t>
      </w:r>
      <w:r w:rsidR="00187B82" w:rsidRPr="00193082">
        <w:rPr>
          <w:rFonts w:ascii="Times New Roman" w:hAnsi="Times New Roman" w:cs="Times New Roman"/>
          <w:color w:val="212121"/>
          <w:shd w:val="clear" w:color="auto" w:fill="FFFFFF"/>
          <w:lang w:val="sq-AL"/>
        </w:rPr>
        <w:t>.</w:t>
      </w:r>
    </w:p>
    <w:p w:rsidR="00136C63" w:rsidRPr="00193082" w:rsidRDefault="00C0050F" w:rsidP="00136C63">
      <w:pPr>
        <w:jc w:val="both"/>
        <w:rPr>
          <w:rFonts w:ascii="Times New Roman" w:hAnsi="Times New Roman" w:cs="Times New Roman"/>
          <w:lang w:val="sq-AL"/>
        </w:rPr>
      </w:pPr>
      <w:r w:rsidRPr="00C0050F">
        <w:rPr>
          <w:rFonts w:ascii="Times New Roman" w:hAnsi="Times New Roman" w:cs="Times New Roman"/>
          <w:lang w:val="sq-AL"/>
        </w:rPr>
        <w:t>Bu nedenle, Mamuşa Belediyesi, bu talebe cevaben, 2019 Yılı Mali Tabloları Denetim Raporundan kaynaklanan tavsiyelerin uygulanmasındaki ilerlemeye ve önceki dönemlere ait tavsiyelere ilişkin bu raporu hazırlamıştır.</w:t>
      </w:r>
      <w:r w:rsidR="00136C63" w:rsidRPr="00193082">
        <w:rPr>
          <w:rFonts w:ascii="Times New Roman" w:hAnsi="Times New Roman" w:cs="Times New Roman"/>
          <w:lang w:val="sq-AL"/>
        </w:rPr>
        <w:t>.</w:t>
      </w:r>
    </w:p>
    <w:p w:rsidR="00136C63" w:rsidRPr="00193082" w:rsidRDefault="007556DB" w:rsidP="00136C63">
      <w:pPr>
        <w:jc w:val="both"/>
        <w:rPr>
          <w:rFonts w:ascii="Times New Roman" w:hAnsi="Times New Roman" w:cs="Times New Roman"/>
          <w:lang w:val="sq-AL"/>
        </w:rPr>
      </w:pPr>
      <w:r w:rsidRPr="007556DB">
        <w:rPr>
          <w:rFonts w:ascii="Times New Roman" w:hAnsi="Times New Roman" w:cs="Times New Roman"/>
          <w:lang w:val="sq-AL"/>
        </w:rPr>
        <w:t>Aynı belge, gelecek toplantıların gündeme alınması için Belediye Meclisi Başkanına gönderilir.</w:t>
      </w:r>
      <w:r w:rsidR="00136C63" w:rsidRPr="00193082">
        <w:rPr>
          <w:rFonts w:ascii="Times New Roman" w:hAnsi="Times New Roman" w:cs="Times New Roman"/>
          <w:lang w:val="sq-AL"/>
        </w:rPr>
        <w:t>.</w:t>
      </w:r>
    </w:p>
    <w:p w:rsidR="00136C63" w:rsidRPr="00193082" w:rsidRDefault="00136C63" w:rsidP="00136C63">
      <w:pPr>
        <w:jc w:val="both"/>
        <w:rPr>
          <w:rFonts w:ascii="Times New Roman" w:hAnsi="Times New Roman" w:cs="Times New Roman"/>
          <w:lang w:val="sq-AL"/>
        </w:rPr>
      </w:pPr>
    </w:p>
    <w:p w:rsidR="00136C63" w:rsidRPr="00193082" w:rsidRDefault="00136C63" w:rsidP="00136C63">
      <w:pPr>
        <w:jc w:val="both"/>
        <w:rPr>
          <w:rFonts w:ascii="Times New Roman" w:hAnsi="Times New Roman" w:cs="Times New Roman"/>
          <w:lang w:val="sq-AL"/>
        </w:rPr>
      </w:pPr>
    </w:p>
    <w:p w:rsidR="00136C63" w:rsidRPr="00193082" w:rsidRDefault="007556DB" w:rsidP="00943904">
      <w:pPr>
        <w:rPr>
          <w:rFonts w:ascii="Times New Roman" w:hAnsi="Times New Roman" w:cs="Times New Roman"/>
          <w:lang w:val="sq-AL"/>
        </w:rPr>
      </w:pPr>
      <w:r w:rsidRPr="007556DB">
        <w:rPr>
          <w:rFonts w:ascii="Times New Roman" w:hAnsi="Times New Roman" w:cs="Times New Roman"/>
          <w:lang w:val="sq-AL"/>
        </w:rPr>
        <w:t>Eylül</w:t>
      </w:r>
      <w:r>
        <w:rPr>
          <w:rFonts w:ascii="Times New Roman" w:hAnsi="Times New Roman" w:cs="Times New Roman"/>
          <w:lang w:val="sq-AL"/>
        </w:rPr>
        <w:t xml:space="preserve"> </w:t>
      </w:r>
      <w:r w:rsidR="00E24356" w:rsidRPr="00193082">
        <w:rPr>
          <w:rFonts w:ascii="Times New Roman" w:hAnsi="Times New Roman" w:cs="Times New Roman"/>
          <w:lang w:val="sq-AL"/>
        </w:rPr>
        <w:t xml:space="preserve"> 202</w:t>
      </w:r>
      <w:r w:rsidR="00D618F2">
        <w:rPr>
          <w:rFonts w:ascii="Times New Roman" w:hAnsi="Times New Roman" w:cs="Times New Roman"/>
          <w:lang w:val="sq-AL"/>
        </w:rPr>
        <w:t>2</w:t>
      </w:r>
    </w:p>
    <w:p w:rsidR="009B6FEE" w:rsidRPr="00193082" w:rsidRDefault="009B6FEE" w:rsidP="00943904">
      <w:pPr>
        <w:rPr>
          <w:rFonts w:ascii="Times New Roman" w:hAnsi="Times New Roman" w:cs="Times New Roman"/>
          <w:b/>
          <w:lang w:val="sq-AL"/>
        </w:rPr>
      </w:pPr>
    </w:p>
    <w:p w:rsidR="009873B6" w:rsidRPr="00193082" w:rsidRDefault="009873B6" w:rsidP="00943904">
      <w:pPr>
        <w:rPr>
          <w:rFonts w:ascii="Times New Roman" w:hAnsi="Times New Roman" w:cs="Times New Roman"/>
          <w:b/>
          <w:lang w:val="sq-AL"/>
        </w:rPr>
        <w:sectPr w:rsidR="009873B6" w:rsidRPr="00193082" w:rsidSect="0072733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-1441"/>
        <w:tblW w:w="14405" w:type="dxa"/>
        <w:tblLayout w:type="fixed"/>
        <w:tblLook w:val="04A0" w:firstRow="1" w:lastRow="0" w:firstColumn="1" w:lastColumn="0" w:noHBand="0" w:noVBand="1"/>
      </w:tblPr>
      <w:tblGrid>
        <w:gridCol w:w="1913"/>
        <w:gridCol w:w="2790"/>
        <w:gridCol w:w="2880"/>
        <w:gridCol w:w="3330"/>
        <w:gridCol w:w="1980"/>
        <w:gridCol w:w="1512"/>
      </w:tblGrid>
      <w:tr w:rsidR="00D618F2" w:rsidRPr="00193082" w:rsidTr="00D618F2">
        <w:trPr>
          <w:trHeight w:val="1070"/>
        </w:trPr>
        <w:tc>
          <w:tcPr>
            <w:tcW w:w="1913" w:type="dxa"/>
            <w:shd w:val="clear" w:color="auto" w:fill="B8CCE4" w:themeFill="accent1" w:themeFillTint="66"/>
          </w:tcPr>
          <w:p w:rsidR="00D618F2" w:rsidRPr="00193082" w:rsidRDefault="00D618F2" w:rsidP="00B46A2D">
            <w:pPr>
              <w:rPr>
                <w:rFonts w:ascii="Times New Roman" w:hAnsi="Times New Roman" w:cs="Times New Roman"/>
                <w:lang w:val="sq-AL"/>
              </w:rPr>
            </w:pPr>
            <w:proofErr w:type="spellStart"/>
            <w:r w:rsidRPr="006651D8">
              <w:lastRenderedPageBreak/>
              <w:t>Denetim</w:t>
            </w:r>
            <w:proofErr w:type="spellEnd"/>
            <w:r w:rsidRPr="006651D8">
              <w:t xml:space="preserve"> </w:t>
            </w:r>
            <w:proofErr w:type="spellStart"/>
            <w:r w:rsidRPr="006651D8">
              <w:t>bileşeni</w:t>
            </w:r>
            <w:proofErr w:type="spellEnd"/>
            <w:r w:rsidRPr="006651D8">
              <w:t xml:space="preserve"> </w:t>
            </w:r>
            <w:r w:rsidRPr="00673D5A">
              <w:t>(</w:t>
            </w:r>
            <w:proofErr w:type="spellStart"/>
            <w:r>
              <w:t>bölüm</w:t>
            </w:r>
            <w:proofErr w:type="spellEnd"/>
            <w:r w:rsidRPr="00673D5A">
              <w:t>)</w:t>
            </w:r>
          </w:p>
        </w:tc>
        <w:tc>
          <w:tcPr>
            <w:tcW w:w="2790" w:type="dxa"/>
            <w:shd w:val="clear" w:color="auto" w:fill="B8CCE4" w:themeFill="accent1" w:themeFillTint="66"/>
          </w:tcPr>
          <w:p w:rsidR="00D618F2" w:rsidRPr="00193082" w:rsidRDefault="00D618F2" w:rsidP="00B46A2D">
            <w:pPr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 xml:space="preserve">Bulgu </w:t>
            </w:r>
          </w:p>
        </w:tc>
        <w:tc>
          <w:tcPr>
            <w:tcW w:w="2880" w:type="dxa"/>
            <w:shd w:val="clear" w:color="auto" w:fill="B8CCE4" w:themeFill="accent1" w:themeFillTint="66"/>
          </w:tcPr>
          <w:p w:rsidR="00D618F2" w:rsidRPr="00193082" w:rsidRDefault="00D618F2" w:rsidP="00B46A2D">
            <w:pPr>
              <w:rPr>
                <w:rFonts w:ascii="Times New Roman" w:hAnsi="Times New Roman" w:cs="Times New Roman"/>
                <w:lang w:val="sq-AL"/>
              </w:rPr>
            </w:pPr>
            <w:r w:rsidRPr="00C0050F">
              <w:rPr>
                <w:rFonts w:ascii="Times New Roman" w:hAnsi="Times New Roman" w:cs="Times New Roman"/>
                <w:lang w:val="sq-AL"/>
              </w:rPr>
              <w:t>Tavsiye</w:t>
            </w:r>
          </w:p>
        </w:tc>
        <w:tc>
          <w:tcPr>
            <w:tcW w:w="3330" w:type="dxa"/>
            <w:shd w:val="clear" w:color="auto" w:fill="B8CCE4" w:themeFill="accent1" w:themeFillTint="66"/>
          </w:tcPr>
          <w:p w:rsidR="00D618F2" w:rsidRPr="00193082" w:rsidRDefault="00D618F2" w:rsidP="00B46A2D">
            <w:pPr>
              <w:rPr>
                <w:rFonts w:ascii="Times New Roman" w:hAnsi="Times New Roman" w:cs="Times New Roman"/>
                <w:lang w:val="sq-AL"/>
              </w:rPr>
            </w:pPr>
            <w:r w:rsidRPr="00C0050F">
              <w:rPr>
                <w:rFonts w:ascii="Times New Roman" w:hAnsi="Times New Roman" w:cs="Times New Roman"/>
                <w:lang w:val="sq-AL"/>
              </w:rPr>
              <w:t>Tavsiyenin uygulanmasına ilişkin alınan önlemler ve somut sonuçlar</w:t>
            </w:r>
          </w:p>
        </w:tc>
        <w:tc>
          <w:tcPr>
            <w:tcW w:w="1980" w:type="dxa"/>
            <w:shd w:val="clear" w:color="auto" w:fill="B8CCE4" w:themeFill="accent1" w:themeFillTint="66"/>
          </w:tcPr>
          <w:p w:rsidR="00D618F2" w:rsidRPr="00193082" w:rsidRDefault="00D618F2" w:rsidP="00B46A2D">
            <w:pPr>
              <w:rPr>
                <w:rFonts w:ascii="Times New Roman" w:hAnsi="Times New Roman" w:cs="Times New Roman"/>
                <w:lang w:val="sq-AL"/>
              </w:rPr>
            </w:pPr>
            <w:r w:rsidRPr="00C0050F">
              <w:rPr>
                <w:rFonts w:ascii="Times New Roman" w:hAnsi="Times New Roman" w:cs="Times New Roman"/>
                <w:lang w:val="sq-AL"/>
              </w:rPr>
              <w:t>Tavsiye durumu (uygulandı, kısmen uygulandı veya uygulanmadı)</w:t>
            </w:r>
          </w:p>
        </w:tc>
        <w:tc>
          <w:tcPr>
            <w:tcW w:w="1512" w:type="dxa"/>
            <w:shd w:val="clear" w:color="auto" w:fill="B8CCE4" w:themeFill="accent1" w:themeFillTint="66"/>
          </w:tcPr>
          <w:p w:rsidR="00D618F2" w:rsidRPr="00193082" w:rsidRDefault="00D618F2" w:rsidP="00B46A2D">
            <w:pPr>
              <w:rPr>
                <w:rFonts w:ascii="Times New Roman" w:hAnsi="Times New Roman" w:cs="Times New Roman"/>
                <w:lang w:val="sq-AL"/>
              </w:rPr>
            </w:pPr>
            <w:r w:rsidRPr="00C0050F">
              <w:rPr>
                <w:rFonts w:ascii="Times New Roman" w:hAnsi="Times New Roman" w:cs="Times New Roman"/>
                <w:lang w:val="sq-AL"/>
              </w:rPr>
              <w:t>Tavsiyenin uygulanmasında karşılaşılan zorluklar</w:t>
            </w:r>
          </w:p>
        </w:tc>
      </w:tr>
      <w:tr w:rsidR="00D618F2" w:rsidRPr="00193082" w:rsidTr="00D618F2">
        <w:tc>
          <w:tcPr>
            <w:tcW w:w="1913" w:type="dxa"/>
          </w:tcPr>
          <w:p w:rsidR="00D618F2" w:rsidRPr="00193082" w:rsidRDefault="00D618F2" w:rsidP="009220F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D618F2">
              <w:rPr>
                <w:rFonts w:ascii="Times New Roman" w:hAnsi="Times New Roman" w:cs="Times New Roman"/>
                <w:color w:val="221F1F"/>
                <w:sz w:val="22"/>
                <w:szCs w:val="22"/>
                <w:lang w:val="sq-AL"/>
              </w:rPr>
              <w:t>Varlık yönetiminde zayıflık</w:t>
            </w:r>
          </w:p>
        </w:tc>
        <w:tc>
          <w:tcPr>
            <w:tcW w:w="2790" w:type="dxa"/>
          </w:tcPr>
          <w:p w:rsidR="00D618F2" w:rsidRDefault="00836BC5" w:rsidP="00836BC5">
            <w:pPr>
              <w:pStyle w:val="NoSpacing"/>
              <w:rPr>
                <w:rFonts w:ascii="Times New Roman" w:hAnsi="Times New Roman" w:cs="Times New Roman"/>
                <w:color w:val="221F1F"/>
              </w:rPr>
            </w:pPr>
            <w:r w:rsidRPr="00836BC5">
              <w:rPr>
                <w:rFonts w:ascii="Times New Roman" w:hAnsi="Times New Roman" w:cs="Times New Roman"/>
                <w:color w:val="221F1F"/>
              </w:rPr>
              <w:t xml:space="preserve">Bütçe kuruluşlarında finansal olmayan varlıkların yönetimi için 02/2013 sayılı yönetmeliğin </w:t>
            </w:r>
            <w:r>
              <w:rPr>
                <w:rFonts w:ascii="Times New Roman" w:hAnsi="Times New Roman" w:cs="Times New Roman"/>
                <w:color w:val="221F1F"/>
              </w:rPr>
              <w:t>6</w:t>
            </w:r>
            <w:r w:rsidRPr="00836BC5">
              <w:rPr>
                <w:rFonts w:ascii="Times New Roman" w:hAnsi="Times New Roman" w:cs="Times New Roman"/>
                <w:color w:val="221F1F"/>
              </w:rPr>
              <w:t xml:space="preserve">. maddesi </w:t>
            </w:r>
            <w:r>
              <w:rPr>
                <w:rFonts w:ascii="Times New Roman" w:hAnsi="Times New Roman" w:cs="Times New Roman"/>
                <w:color w:val="221F1F"/>
              </w:rPr>
              <w:t xml:space="preserve">ve 3 paragrafa </w:t>
            </w:r>
            <w:r w:rsidRPr="00836BC5">
              <w:rPr>
                <w:rFonts w:ascii="Times New Roman" w:hAnsi="Times New Roman" w:cs="Times New Roman"/>
                <w:color w:val="221F1F"/>
              </w:rPr>
              <w:t xml:space="preserve">göre </w:t>
            </w:r>
            <w:r>
              <w:t xml:space="preserve"> </w:t>
            </w:r>
            <w:r w:rsidRPr="00836BC5">
              <w:rPr>
                <w:rFonts w:ascii="Times New Roman" w:hAnsi="Times New Roman" w:cs="Times New Roman"/>
                <w:color w:val="221F1F"/>
              </w:rPr>
              <w:t xml:space="preserve">sermaye varlığının SIMFK'de kayıtlı olması gerektiği </w:t>
            </w:r>
            <w:r>
              <w:rPr>
                <w:rFonts w:ascii="Times New Roman" w:hAnsi="Times New Roman" w:cs="Times New Roman"/>
                <w:color w:val="221F1F"/>
              </w:rPr>
              <w:t>oysa sermaye olmayan varlıklar ve</w:t>
            </w:r>
            <w:r w:rsidRPr="00836BC5">
              <w:rPr>
                <w:rFonts w:ascii="Times New Roman" w:hAnsi="Times New Roman" w:cs="Times New Roman"/>
                <w:color w:val="221F1F"/>
              </w:rPr>
              <w:t xml:space="preserve"> stoklar e-pasuria tarafından yapılması gerektiği belirlenmiştir</w:t>
            </w:r>
            <w:r w:rsidR="001A1999">
              <w:t xml:space="preserve">. </w:t>
            </w:r>
            <w:r w:rsidR="001A1999" w:rsidRPr="001A1999">
              <w:rPr>
                <w:rFonts w:ascii="Times New Roman" w:hAnsi="Times New Roman" w:cs="Times New Roman"/>
                <w:color w:val="221F1F"/>
              </w:rPr>
              <w:t>Belediye, 85.207 € değerindeki emlak değerini 1.000 € üzerindeki emlak siciline aşağıdaki şekilde kaydetmemiştir:</w:t>
            </w:r>
          </w:p>
          <w:p w:rsidR="001A1999" w:rsidRPr="001A1999" w:rsidRDefault="001A1999" w:rsidP="001A1999">
            <w:pPr>
              <w:pStyle w:val="NoSpacing"/>
              <w:rPr>
                <w:rFonts w:ascii="Times New Roman" w:eastAsia="Book Antiqua" w:hAnsi="Times New Roman" w:cs="Times New Roman"/>
                <w:color w:val="2D251B"/>
              </w:rPr>
            </w:pPr>
            <w:r w:rsidRPr="001A1999">
              <w:rPr>
                <w:rFonts w:ascii="Times New Roman" w:eastAsia="Book Antiqua" w:hAnsi="Times New Roman" w:cs="Times New Roman"/>
                <w:color w:val="2D251B"/>
              </w:rPr>
              <w:t>Türkiye'den bağış olarak alınan 48.467 € değerindeki otobüs</w:t>
            </w:r>
          </w:p>
          <w:p w:rsidR="001A1999" w:rsidRDefault="001A1999" w:rsidP="001A1999">
            <w:pPr>
              <w:pStyle w:val="NoSpacing"/>
              <w:rPr>
                <w:rFonts w:ascii="Times New Roman" w:eastAsia="Book Antiqua" w:hAnsi="Times New Roman" w:cs="Times New Roman"/>
                <w:color w:val="2D251B"/>
              </w:rPr>
            </w:pPr>
            <w:r>
              <w:rPr>
                <w:rFonts w:ascii="Times New Roman" w:eastAsia="Book Antiqua" w:hAnsi="Times New Roman" w:cs="Times New Roman"/>
                <w:color w:val="2D251B"/>
              </w:rPr>
              <w:t>Mamuşa AASM</w:t>
            </w:r>
            <w:r w:rsidRPr="001A1999">
              <w:rPr>
                <w:rFonts w:ascii="Times New Roman" w:eastAsia="Book Antiqua" w:hAnsi="Times New Roman" w:cs="Times New Roman"/>
                <w:color w:val="2D251B"/>
              </w:rPr>
              <w:t xml:space="preserve"> için 19.290 Avro tutarında modern tıbbi ekipman tedariki (IOM tarafından 11.290 Avro ve belediye tarafından 8.000 Avro finanse edilmektedir)</w:t>
            </w:r>
            <w:r>
              <w:rPr>
                <w:rFonts w:ascii="Times New Roman" w:eastAsia="Book Antiqua" w:hAnsi="Times New Roman" w:cs="Times New Roman"/>
                <w:color w:val="2D251B"/>
              </w:rPr>
              <w:t>.</w:t>
            </w:r>
          </w:p>
          <w:p w:rsidR="001A1999" w:rsidRPr="00193082" w:rsidRDefault="001A1999" w:rsidP="001A1999">
            <w:pPr>
              <w:pStyle w:val="NoSpacing"/>
              <w:rPr>
                <w:rFonts w:ascii="Times New Roman" w:eastAsia="Book Antiqua" w:hAnsi="Times New Roman" w:cs="Times New Roman"/>
                <w:color w:val="2D251B"/>
              </w:rPr>
            </w:pPr>
            <w:r w:rsidRPr="001A1999">
              <w:rPr>
                <w:rFonts w:ascii="Times New Roman" w:eastAsia="Book Antiqua" w:hAnsi="Times New Roman" w:cs="Times New Roman"/>
                <w:color w:val="2D251B"/>
              </w:rPr>
              <w:t>Mamuşa belediyesindeki tarla yolunun düzenlenmesi ve şehir parkının 17.450 € tutarında yenilenmesi;</w:t>
            </w:r>
          </w:p>
        </w:tc>
        <w:tc>
          <w:tcPr>
            <w:tcW w:w="2880" w:type="dxa"/>
          </w:tcPr>
          <w:p w:rsidR="00D618F2" w:rsidRPr="00193082" w:rsidRDefault="00CE1FE3" w:rsidP="009220F7">
            <w:pPr>
              <w:pStyle w:val="NoSpacing"/>
              <w:rPr>
                <w:rFonts w:ascii="Times New Roman" w:hAnsi="Times New Roman" w:cs="Times New Roman"/>
              </w:rPr>
            </w:pPr>
            <w:r w:rsidRPr="00CE1FE3">
              <w:rPr>
                <w:rFonts w:ascii="Times New Roman" w:hAnsi="Times New Roman" w:cs="Times New Roman"/>
                <w:color w:val="221F1F"/>
              </w:rPr>
              <w:t>Belediye başkanı, adil raporlama ve Belediyenin elinde bulunan mülkün yeterli yönetimi amacıyla kayıtların eksiksiz ve doğru bilgiler sunması için etkin bir mülk kayıt sürecinin oluşturulmasını sağlamalıdır.</w:t>
            </w:r>
          </w:p>
        </w:tc>
        <w:tc>
          <w:tcPr>
            <w:tcW w:w="3330" w:type="dxa"/>
          </w:tcPr>
          <w:p w:rsidR="001A1999" w:rsidRPr="001A1999" w:rsidRDefault="001A1999" w:rsidP="001A1999">
            <w:pPr>
              <w:tabs>
                <w:tab w:val="left" w:pos="1300"/>
              </w:tabs>
              <w:rPr>
                <w:rFonts w:ascii="Times New Roman" w:hAnsi="Times New Roman" w:cs="Times New Roman"/>
                <w:lang w:val="sq-AL"/>
              </w:rPr>
            </w:pPr>
            <w:r w:rsidRPr="001A1999">
              <w:rPr>
                <w:rFonts w:ascii="Times New Roman" w:hAnsi="Times New Roman" w:cs="Times New Roman"/>
                <w:lang w:val="sq-AL"/>
              </w:rPr>
              <w:t>Bu öneri ele alındı.</w:t>
            </w:r>
          </w:p>
          <w:p w:rsidR="00D618F2" w:rsidRPr="00193082" w:rsidRDefault="001A1999" w:rsidP="001A1999">
            <w:pPr>
              <w:pStyle w:val="NoSpacing"/>
              <w:rPr>
                <w:rFonts w:ascii="Times New Roman" w:hAnsi="Times New Roman" w:cs="Times New Roman"/>
              </w:rPr>
            </w:pPr>
            <w:r w:rsidRPr="001A1999">
              <w:rPr>
                <w:rFonts w:ascii="Times New Roman" w:hAnsi="Times New Roman" w:cs="Times New Roman"/>
              </w:rPr>
              <w:t xml:space="preserve">Bu raporlama dönemine kadar, </w:t>
            </w:r>
            <w:r>
              <w:rPr>
                <w:rFonts w:ascii="Times New Roman" w:hAnsi="Times New Roman" w:cs="Times New Roman"/>
              </w:rPr>
              <w:t>Varlık memuru</w:t>
            </w:r>
            <w:r w:rsidRPr="001A1999">
              <w:rPr>
                <w:rFonts w:ascii="Times New Roman" w:hAnsi="Times New Roman" w:cs="Times New Roman"/>
              </w:rPr>
              <w:t xml:space="preserve"> tarafından bu tavsiyelerin bulgularını </w:t>
            </w:r>
            <w:r>
              <w:rPr>
                <w:rFonts w:ascii="Times New Roman" w:hAnsi="Times New Roman" w:cs="Times New Roman"/>
              </w:rPr>
              <w:t>KMYS</w:t>
            </w:r>
            <w:r w:rsidRPr="001A1999">
              <w:rPr>
                <w:rFonts w:ascii="Times New Roman" w:hAnsi="Times New Roman" w:cs="Times New Roman"/>
              </w:rPr>
              <w:t>'ya kaydetmek için adımlar atılmıştır.</w:t>
            </w:r>
          </w:p>
        </w:tc>
        <w:tc>
          <w:tcPr>
            <w:tcW w:w="1980" w:type="dxa"/>
          </w:tcPr>
          <w:p w:rsidR="00D618F2" w:rsidRPr="00193082" w:rsidRDefault="00D618F2" w:rsidP="001A1999">
            <w:pPr>
              <w:tabs>
                <w:tab w:val="left" w:pos="1300"/>
              </w:tabs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Uygula</w:t>
            </w:r>
            <w:r w:rsidR="001A1999">
              <w:rPr>
                <w:rFonts w:ascii="Times New Roman" w:hAnsi="Times New Roman" w:cs="Times New Roman"/>
                <w:lang w:val="sq-AL"/>
              </w:rPr>
              <w:t>ma sürecinde</w:t>
            </w:r>
            <w:r>
              <w:rPr>
                <w:rFonts w:ascii="Times New Roman" w:hAnsi="Times New Roman" w:cs="Times New Roman"/>
                <w:lang w:val="sq-AL"/>
              </w:rPr>
              <w:t xml:space="preserve"> </w:t>
            </w:r>
          </w:p>
        </w:tc>
        <w:tc>
          <w:tcPr>
            <w:tcW w:w="1512" w:type="dxa"/>
          </w:tcPr>
          <w:p w:rsidR="00D618F2" w:rsidRPr="00193082" w:rsidRDefault="00D618F2" w:rsidP="009220F7">
            <w:pPr>
              <w:rPr>
                <w:rFonts w:ascii="Times New Roman" w:hAnsi="Times New Roman" w:cs="Times New Roman"/>
                <w:lang w:val="sq-AL"/>
              </w:rPr>
            </w:pPr>
            <w:r w:rsidRPr="00C0050F">
              <w:rPr>
                <w:rFonts w:ascii="Times New Roman" w:hAnsi="Times New Roman" w:cs="Times New Roman"/>
                <w:lang w:val="sq-AL"/>
              </w:rPr>
              <w:t>Harcama limitine göre fon kaybı</w:t>
            </w:r>
            <w:r>
              <w:rPr>
                <w:rFonts w:ascii="Times New Roman" w:hAnsi="Times New Roman" w:cs="Times New Roman"/>
                <w:lang w:val="sq-AL"/>
              </w:rPr>
              <w:t xml:space="preserve"> </w:t>
            </w:r>
            <w:r>
              <w:t xml:space="preserve"> </w:t>
            </w:r>
            <w:r w:rsidRPr="00C0050F">
              <w:rPr>
                <w:rFonts w:ascii="Times New Roman" w:hAnsi="Times New Roman" w:cs="Times New Roman"/>
                <w:lang w:val="sq-AL"/>
              </w:rPr>
              <w:t>ve gereksinimler yanlış sınıflandırmaların yapılmasına neden olur.</w:t>
            </w:r>
          </w:p>
        </w:tc>
      </w:tr>
      <w:tr w:rsidR="00D618F2" w:rsidRPr="00193082" w:rsidTr="00D618F2">
        <w:tc>
          <w:tcPr>
            <w:tcW w:w="1913" w:type="dxa"/>
          </w:tcPr>
          <w:p w:rsidR="00D618F2" w:rsidRPr="00193082" w:rsidRDefault="00CE1FE3" w:rsidP="00AC5A2A">
            <w:pPr>
              <w:pStyle w:val="NoSpacing"/>
              <w:rPr>
                <w:rFonts w:ascii="Times New Roman" w:hAnsi="Times New Roman" w:cs="Times New Roman"/>
              </w:rPr>
            </w:pPr>
            <w:r w:rsidRPr="00CE1FE3">
              <w:rPr>
                <w:rFonts w:ascii="Times New Roman" w:hAnsi="Times New Roman" w:cs="Times New Roman"/>
              </w:rPr>
              <w:t>Ödemelerde gecikme</w:t>
            </w:r>
          </w:p>
        </w:tc>
        <w:tc>
          <w:tcPr>
            <w:tcW w:w="2790" w:type="dxa"/>
          </w:tcPr>
          <w:p w:rsidR="00CE1FE3" w:rsidRPr="00CE1FE3" w:rsidRDefault="00CE1FE3" w:rsidP="00CE1FE3">
            <w:pPr>
              <w:pStyle w:val="NoSpacing"/>
              <w:rPr>
                <w:rFonts w:ascii="Times New Roman" w:hAnsi="Times New Roman" w:cs="Times New Roman"/>
                <w:color w:val="221F1F"/>
              </w:rPr>
            </w:pPr>
            <w:r w:rsidRPr="00CE1FE3">
              <w:rPr>
                <w:rFonts w:ascii="Times New Roman" w:hAnsi="Times New Roman" w:cs="Times New Roman"/>
                <w:color w:val="221F1F"/>
              </w:rPr>
              <w:t xml:space="preserve">03 /L-048  nolu Kamu Finansmanı Yönetimi ve Sorumlulukları Kanun'un 39.1 maddesine göre, her geçerli faturan ın ve mal ve hizmet ödeme isteminin, faturanın alınmasından sonraki 30 takvim günü içinde ödenmesi </w:t>
            </w:r>
            <w:r w:rsidRPr="00CE1FE3">
              <w:rPr>
                <w:rFonts w:ascii="Times New Roman" w:hAnsi="Times New Roman" w:cs="Times New Roman"/>
                <w:color w:val="221F1F"/>
              </w:rPr>
              <w:lastRenderedPageBreak/>
              <w:t>gerekmektedir.</w:t>
            </w:r>
          </w:p>
          <w:p w:rsidR="00D618F2" w:rsidRPr="00193082" w:rsidRDefault="00CE1FE3" w:rsidP="00CE1FE3">
            <w:pPr>
              <w:pStyle w:val="NoSpacing"/>
              <w:rPr>
                <w:rFonts w:ascii="Times New Roman" w:hAnsi="Times New Roman" w:cs="Times New Roman"/>
              </w:rPr>
            </w:pPr>
            <w:r w:rsidRPr="00CE1FE3">
              <w:rPr>
                <w:rFonts w:ascii="Times New Roman" w:hAnsi="Times New Roman" w:cs="Times New Roman"/>
                <w:color w:val="221F1F"/>
              </w:rPr>
              <w:t>Test sırasında, 99.210 € tutarında 5 faturada faturaların 30 günlük yasal süre içinde ödenmediğini fark ettik. Gecikmeler 3 aya kadardı.</w:t>
            </w:r>
          </w:p>
        </w:tc>
        <w:tc>
          <w:tcPr>
            <w:tcW w:w="2880" w:type="dxa"/>
          </w:tcPr>
          <w:p w:rsidR="00D618F2" w:rsidRPr="00193082" w:rsidRDefault="00CE1FE3" w:rsidP="00AC5A2A">
            <w:pPr>
              <w:pStyle w:val="NoSpacing"/>
              <w:rPr>
                <w:rFonts w:ascii="Times New Roman" w:hAnsi="Times New Roman" w:cs="Times New Roman"/>
              </w:rPr>
            </w:pPr>
            <w:r w:rsidRPr="00CE1FE3">
              <w:rPr>
                <w:rFonts w:ascii="Times New Roman" w:hAnsi="Times New Roman" w:cs="Times New Roman"/>
                <w:color w:val="221F1F"/>
              </w:rPr>
              <w:lastRenderedPageBreak/>
              <w:t>Belediye başkanı, faturaların ödenmesinin kanunla belirlenen sürelere uygun olarak yapıldığını doğrulayan kontrol noktasının etkin bir şekilde çalışmasını sağlamalıdır.</w:t>
            </w:r>
          </w:p>
        </w:tc>
        <w:tc>
          <w:tcPr>
            <w:tcW w:w="3330" w:type="dxa"/>
          </w:tcPr>
          <w:p w:rsidR="00D618F2" w:rsidRPr="00C41994" w:rsidRDefault="00CE1FE3" w:rsidP="0050572C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CE1FE3">
              <w:rPr>
                <w:rFonts w:ascii="Times New Roman" w:hAnsi="Times New Roman" w:cs="Times New Roman"/>
                <w:iCs/>
              </w:rPr>
              <w:t xml:space="preserve">Bu öneri için 2020 </w:t>
            </w:r>
            <w:r>
              <w:rPr>
                <w:rFonts w:ascii="Times New Roman" w:hAnsi="Times New Roman" w:cs="Times New Roman"/>
                <w:iCs/>
              </w:rPr>
              <w:t xml:space="preserve">YFT </w:t>
            </w:r>
            <w:r w:rsidRPr="00CE1FE3">
              <w:rPr>
                <w:rFonts w:ascii="Times New Roman" w:hAnsi="Times New Roman" w:cs="Times New Roman"/>
                <w:iCs/>
              </w:rPr>
              <w:t xml:space="preserve">ve 2021 </w:t>
            </w:r>
            <w:r>
              <w:rPr>
                <w:rFonts w:ascii="Times New Roman" w:hAnsi="Times New Roman" w:cs="Times New Roman"/>
                <w:iCs/>
              </w:rPr>
              <w:t>YFT'da</w:t>
            </w:r>
            <w:r w:rsidRPr="00CE1FE3">
              <w:rPr>
                <w:rFonts w:ascii="Times New Roman" w:hAnsi="Times New Roman" w:cs="Times New Roman"/>
                <w:iCs/>
              </w:rPr>
              <w:t xml:space="preserve"> sunduğumuz gibi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CE1FE3">
              <w:rPr>
                <w:rFonts w:ascii="Times New Roman" w:hAnsi="Times New Roman" w:cs="Times New Roman"/>
                <w:iCs/>
              </w:rPr>
              <w:t>ödemeler Aralık 2020'de yapıldı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CE1FE3">
              <w:rPr>
                <w:rFonts w:ascii="Times New Roman" w:hAnsi="Times New Roman" w:cs="Times New Roman"/>
                <w:iCs/>
              </w:rPr>
              <w:t>ve bu ödemelerin yükümlülük ol</w:t>
            </w:r>
            <w:r>
              <w:rPr>
                <w:rFonts w:ascii="Times New Roman" w:hAnsi="Times New Roman" w:cs="Times New Roman"/>
                <w:iCs/>
              </w:rPr>
              <w:t xml:space="preserve">arak değerlendirilmesi için </w:t>
            </w:r>
            <w:r w:rsidRPr="00CE1FE3">
              <w:rPr>
                <w:rFonts w:ascii="Times New Roman" w:hAnsi="Times New Roman" w:cs="Times New Roman"/>
                <w:iCs/>
              </w:rPr>
              <w:t>Hazine'den 05.01.2021 tarihli ödemelerin yapılmamasına ilişkin tebligatı aldık</w:t>
            </w:r>
            <w:r w:rsidR="000D1A47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="000D1A47" w:rsidRPr="000D1A47">
              <w:rPr>
                <w:rFonts w:ascii="Times New Roman" w:hAnsi="Times New Roman" w:cs="Times New Roman"/>
                <w:iCs/>
                <w:lang w:val="en-US"/>
              </w:rPr>
              <w:t>ve</w:t>
            </w:r>
            <w:proofErr w:type="spellEnd"/>
            <w:r w:rsidR="000D1A47" w:rsidRPr="000D1A47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="000D1A47" w:rsidRPr="000D1A47">
              <w:rPr>
                <w:rFonts w:ascii="Times New Roman" w:hAnsi="Times New Roman" w:cs="Times New Roman"/>
                <w:iCs/>
                <w:lang w:val="en-US"/>
              </w:rPr>
              <w:t>tüm</w:t>
            </w:r>
            <w:proofErr w:type="spellEnd"/>
            <w:r w:rsidR="000D1A47" w:rsidRPr="000D1A47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="000D1A47" w:rsidRPr="000D1A47">
              <w:rPr>
                <w:rFonts w:ascii="Times New Roman" w:hAnsi="Times New Roman" w:cs="Times New Roman"/>
                <w:iCs/>
                <w:lang w:val="en-US"/>
              </w:rPr>
              <w:t>değişiklikler</w:t>
            </w:r>
            <w:proofErr w:type="spellEnd"/>
            <w:r w:rsidR="000D1A47" w:rsidRPr="000D1A47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="000D1A47" w:rsidRPr="000D1A47">
              <w:rPr>
                <w:rFonts w:ascii="Times New Roman" w:hAnsi="Times New Roman" w:cs="Times New Roman"/>
                <w:iCs/>
                <w:lang w:val="en-US"/>
              </w:rPr>
              <w:t>Belediye</w:t>
            </w:r>
            <w:proofErr w:type="spellEnd"/>
            <w:r w:rsidR="000D1A47" w:rsidRPr="000D1A47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="000D1A47" w:rsidRPr="000D1A47">
              <w:rPr>
                <w:rFonts w:ascii="Times New Roman" w:hAnsi="Times New Roman" w:cs="Times New Roman"/>
                <w:iCs/>
                <w:lang w:val="en-US"/>
              </w:rPr>
              <w:t>Meclisine</w:t>
            </w:r>
            <w:proofErr w:type="spellEnd"/>
            <w:r w:rsidR="000D1A47" w:rsidRPr="000D1A47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="000D1A47" w:rsidRPr="000D1A47">
              <w:rPr>
                <w:rFonts w:ascii="Times New Roman" w:hAnsi="Times New Roman" w:cs="Times New Roman"/>
                <w:iCs/>
                <w:lang w:val="en-US"/>
              </w:rPr>
              <w:t>sunuldukta</w:t>
            </w:r>
            <w:r w:rsidR="000D1A47">
              <w:rPr>
                <w:rFonts w:ascii="Times New Roman" w:hAnsi="Times New Roman" w:cs="Times New Roman"/>
                <w:iCs/>
                <w:lang w:val="en-US"/>
              </w:rPr>
              <w:t>n</w:t>
            </w:r>
            <w:proofErr w:type="spellEnd"/>
            <w:r w:rsidR="000D1A47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="000D1A47">
              <w:rPr>
                <w:rFonts w:ascii="Times New Roman" w:hAnsi="Times New Roman" w:cs="Times New Roman"/>
                <w:iCs/>
                <w:lang w:val="en-US"/>
              </w:rPr>
              <w:t>sonra</w:t>
            </w:r>
            <w:proofErr w:type="spellEnd"/>
            <w:r w:rsidR="000D1A47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="000D1A47">
              <w:rPr>
                <w:rFonts w:ascii="Times New Roman" w:hAnsi="Times New Roman" w:cs="Times New Roman"/>
                <w:iCs/>
                <w:lang w:val="en-US"/>
              </w:rPr>
              <w:lastRenderedPageBreak/>
              <w:t>ödemeleri</w:t>
            </w:r>
            <w:proofErr w:type="spellEnd"/>
            <w:r w:rsidR="000D1A47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="000D1A47">
              <w:rPr>
                <w:rFonts w:ascii="Times New Roman" w:hAnsi="Times New Roman" w:cs="Times New Roman"/>
                <w:iCs/>
                <w:lang w:val="en-US"/>
              </w:rPr>
              <w:t>işleme</w:t>
            </w:r>
            <w:proofErr w:type="spellEnd"/>
            <w:r w:rsidR="000D1A47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="000D1A47">
              <w:rPr>
                <w:rFonts w:ascii="Times New Roman" w:hAnsi="Times New Roman" w:cs="Times New Roman"/>
                <w:iCs/>
                <w:lang w:val="en-US"/>
              </w:rPr>
              <w:t>koyduk</w:t>
            </w:r>
            <w:proofErr w:type="spellEnd"/>
            <w:r w:rsidR="000D1A47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="0050572C">
              <w:rPr>
                <w:rFonts w:ascii="Times New Roman" w:hAnsi="Times New Roman" w:cs="Times New Roman"/>
                <w:iCs/>
                <w:lang w:val="en-US"/>
              </w:rPr>
              <w:t>ve</w:t>
            </w:r>
            <w:proofErr w:type="spellEnd"/>
            <w:r w:rsidR="0050572C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r w:rsidR="0050572C" w:rsidRPr="0050572C">
              <w:rPr>
                <w:rFonts w:ascii="Times New Roman" w:hAnsi="Times New Roman" w:cs="Times New Roman"/>
                <w:iCs/>
                <w:lang w:val="en-US"/>
              </w:rPr>
              <w:t xml:space="preserve">Banka </w:t>
            </w:r>
            <w:proofErr w:type="spellStart"/>
            <w:r w:rsidR="0050572C" w:rsidRPr="0050572C">
              <w:rPr>
                <w:rFonts w:ascii="Times New Roman" w:hAnsi="Times New Roman" w:cs="Times New Roman"/>
                <w:iCs/>
                <w:lang w:val="en-US"/>
              </w:rPr>
              <w:t>likiditesi</w:t>
            </w:r>
            <w:proofErr w:type="spellEnd"/>
            <w:r w:rsidR="0050572C" w:rsidRPr="0050572C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="0050572C" w:rsidRPr="0050572C">
              <w:rPr>
                <w:rFonts w:ascii="Times New Roman" w:hAnsi="Times New Roman" w:cs="Times New Roman"/>
                <w:iCs/>
                <w:lang w:val="en-US"/>
              </w:rPr>
              <w:t>nedeniyle</w:t>
            </w:r>
            <w:proofErr w:type="spellEnd"/>
            <w:r w:rsidR="0050572C" w:rsidRPr="0050572C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="0050572C" w:rsidRPr="0050572C">
              <w:rPr>
                <w:rFonts w:ascii="Times New Roman" w:hAnsi="Times New Roman" w:cs="Times New Roman"/>
                <w:iCs/>
                <w:lang w:val="en-US"/>
              </w:rPr>
              <w:t>ödemelerin</w:t>
            </w:r>
            <w:proofErr w:type="spellEnd"/>
            <w:r w:rsidR="0050572C" w:rsidRPr="0050572C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="0050572C" w:rsidRPr="0050572C">
              <w:rPr>
                <w:rFonts w:ascii="Times New Roman" w:hAnsi="Times New Roman" w:cs="Times New Roman"/>
                <w:iCs/>
                <w:lang w:val="en-US"/>
              </w:rPr>
              <w:t>gerçekleştirilmediği</w:t>
            </w:r>
            <w:proofErr w:type="spellEnd"/>
            <w:r w:rsidR="0050572C" w:rsidRPr="0050572C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="0050572C" w:rsidRPr="0050572C">
              <w:rPr>
                <w:rFonts w:ascii="Times New Roman" w:hAnsi="Times New Roman" w:cs="Times New Roman"/>
                <w:iCs/>
                <w:lang w:val="en-US"/>
              </w:rPr>
              <w:t>ülke</w:t>
            </w:r>
            <w:proofErr w:type="spellEnd"/>
            <w:r w:rsidR="0050572C" w:rsidRPr="0050572C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="0050572C" w:rsidRPr="0050572C">
              <w:rPr>
                <w:rFonts w:ascii="Times New Roman" w:hAnsi="Times New Roman" w:cs="Times New Roman"/>
                <w:iCs/>
                <w:lang w:val="en-US"/>
              </w:rPr>
              <w:t>düzeyinde</w:t>
            </w:r>
            <w:proofErr w:type="spellEnd"/>
            <w:r w:rsidR="0050572C" w:rsidRPr="0050572C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="0050572C" w:rsidRPr="0050572C">
              <w:rPr>
                <w:rFonts w:ascii="Times New Roman" w:hAnsi="Times New Roman" w:cs="Times New Roman"/>
                <w:iCs/>
                <w:lang w:val="en-US"/>
              </w:rPr>
              <w:t>olduğu</w:t>
            </w:r>
            <w:proofErr w:type="spellEnd"/>
            <w:r w:rsidR="0050572C" w:rsidRPr="0050572C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="0050572C" w:rsidRPr="0050572C">
              <w:rPr>
                <w:rFonts w:ascii="Times New Roman" w:hAnsi="Times New Roman" w:cs="Times New Roman"/>
                <w:iCs/>
                <w:lang w:val="en-US"/>
              </w:rPr>
              <w:t>için</w:t>
            </w:r>
            <w:proofErr w:type="spellEnd"/>
            <w:r w:rsidR="0050572C" w:rsidRPr="0050572C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="0050572C" w:rsidRPr="0050572C">
              <w:rPr>
                <w:rFonts w:ascii="Times New Roman" w:hAnsi="Times New Roman" w:cs="Times New Roman"/>
                <w:iCs/>
                <w:lang w:val="en-US"/>
              </w:rPr>
              <w:t>bu</w:t>
            </w:r>
            <w:proofErr w:type="spellEnd"/>
            <w:r w:rsidR="0050572C" w:rsidRPr="0050572C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="0050572C" w:rsidRPr="0050572C">
              <w:rPr>
                <w:rFonts w:ascii="Times New Roman" w:hAnsi="Times New Roman" w:cs="Times New Roman"/>
                <w:iCs/>
                <w:lang w:val="en-US"/>
              </w:rPr>
              <w:t>konuda</w:t>
            </w:r>
            <w:proofErr w:type="spellEnd"/>
            <w:r w:rsidR="0050572C" w:rsidRPr="0050572C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="0050572C" w:rsidRPr="0050572C">
              <w:rPr>
                <w:rFonts w:ascii="Times New Roman" w:hAnsi="Times New Roman" w:cs="Times New Roman"/>
                <w:iCs/>
                <w:lang w:val="en-US"/>
              </w:rPr>
              <w:t>Ekonomik</w:t>
            </w:r>
            <w:proofErr w:type="spellEnd"/>
            <w:r w:rsidR="0050572C" w:rsidRPr="0050572C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="0050572C" w:rsidRPr="0050572C">
              <w:rPr>
                <w:rFonts w:ascii="Times New Roman" w:hAnsi="Times New Roman" w:cs="Times New Roman"/>
                <w:iCs/>
                <w:lang w:val="en-US"/>
              </w:rPr>
              <w:t>Operatörlerden</w:t>
            </w:r>
            <w:proofErr w:type="spellEnd"/>
            <w:r w:rsidR="0050572C" w:rsidRPr="0050572C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="0050572C" w:rsidRPr="0050572C">
              <w:rPr>
                <w:rFonts w:ascii="Times New Roman" w:hAnsi="Times New Roman" w:cs="Times New Roman"/>
                <w:iCs/>
                <w:lang w:val="en-US"/>
              </w:rPr>
              <w:t>herhangi</w:t>
            </w:r>
            <w:proofErr w:type="spellEnd"/>
            <w:r w:rsidR="0050572C" w:rsidRPr="0050572C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="0050572C" w:rsidRPr="0050572C">
              <w:rPr>
                <w:rFonts w:ascii="Times New Roman" w:hAnsi="Times New Roman" w:cs="Times New Roman"/>
                <w:iCs/>
                <w:lang w:val="en-US"/>
              </w:rPr>
              <w:t>bir</w:t>
            </w:r>
            <w:proofErr w:type="spellEnd"/>
            <w:r w:rsidR="0050572C" w:rsidRPr="0050572C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="0050572C" w:rsidRPr="0050572C">
              <w:rPr>
                <w:rFonts w:ascii="Times New Roman" w:hAnsi="Times New Roman" w:cs="Times New Roman"/>
                <w:iCs/>
                <w:lang w:val="en-US"/>
              </w:rPr>
              <w:t>şikayet</w:t>
            </w:r>
            <w:proofErr w:type="spellEnd"/>
            <w:r w:rsidR="0050572C" w:rsidRPr="0050572C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="0050572C" w:rsidRPr="0050572C">
              <w:rPr>
                <w:rFonts w:ascii="Times New Roman" w:hAnsi="Times New Roman" w:cs="Times New Roman"/>
                <w:iCs/>
                <w:lang w:val="en-US"/>
              </w:rPr>
              <w:t>almadık</w:t>
            </w:r>
            <w:proofErr w:type="spellEnd"/>
            <w:r w:rsidR="0050572C" w:rsidRPr="0050572C">
              <w:rPr>
                <w:rFonts w:ascii="Times New Roman" w:hAnsi="Times New Roman" w:cs="Times New Roman"/>
                <w:iCs/>
                <w:lang w:val="en-US"/>
              </w:rPr>
              <w:t>.</w:t>
            </w:r>
          </w:p>
        </w:tc>
        <w:tc>
          <w:tcPr>
            <w:tcW w:w="1980" w:type="dxa"/>
          </w:tcPr>
          <w:p w:rsidR="00D618F2" w:rsidRPr="00193082" w:rsidRDefault="005A59B4" w:rsidP="005A59B4">
            <w:pPr>
              <w:tabs>
                <w:tab w:val="left" w:pos="1300"/>
              </w:tabs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lastRenderedPageBreak/>
              <w:t>Uygulanm</w:t>
            </w:r>
            <w:r>
              <w:rPr>
                <w:rFonts w:ascii="Times New Roman" w:hAnsi="Times New Roman" w:cs="Times New Roman"/>
                <w:lang w:val="tr-TR"/>
              </w:rPr>
              <w:t>ış</w:t>
            </w:r>
          </w:p>
        </w:tc>
        <w:tc>
          <w:tcPr>
            <w:tcW w:w="1512" w:type="dxa"/>
          </w:tcPr>
          <w:p w:rsidR="00D618F2" w:rsidRPr="00193082" w:rsidRDefault="00D618F2" w:rsidP="00AC5A2A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D618F2" w:rsidRPr="00193082" w:rsidTr="00D618F2">
        <w:tc>
          <w:tcPr>
            <w:tcW w:w="1913" w:type="dxa"/>
          </w:tcPr>
          <w:p w:rsidR="00D618F2" w:rsidRPr="00193082" w:rsidRDefault="005A59B4" w:rsidP="0019308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5A59B4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lastRenderedPageBreak/>
              <w:t>Mal ve hizmetlerden avans ödemeleri</w:t>
            </w:r>
          </w:p>
        </w:tc>
        <w:tc>
          <w:tcPr>
            <w:tcW w:w="2790" w:type="dxa"/>
          </w:tcPr>
          <w:p w:rsidR="005A59B4" w:rsidRDefault="005A59B4" w:rsidP="005A59B4">
            <w:pPr>
              <w:pStyle w:val="TableParagraph"/>
              <w:spacing w:before="125"/>
              <w:ind w:right="200"/>
              <w:rPr>
                <w:color w:val="221F1F"/>
              </w:rPr>
            </w:pPr>
            <w:r w:rsidRPr="0085472D">
              <w:rPr>
                <w:color w:val="221F1F"/>
              </w:rPr>
              <w:t>2020 yılı bütçe ödenekleri hakkında</w:t>
            </w:r>
            <w:r>
              <w:rPr>
                <w:color w:val="221F1F"/>
              </w:rPr>
              <w:t xml:space="preserve"> </w:t>
            </w:r>
            <w:r w:rsidRPr="0085472D">
              <w:rPr>
                <w:color w:val="221F1F"/>
              </w:rPr>
              <w:t>07/L-041 Sayılı Bütçe Kanunu,</w:t>
            </w:r>
            <w:r>
              <w:rPr>
                <w:color w:val="221F1F"/>
              </w:rPr>
              <w:t xml:space="preserve"> </w:t>
            </w:r>
            <w:r w:rsidRPr="0085472D">
              <w:rPr>
                <w:color w:val="221F1F"/>
              </w:rPr>
              <w:t>Madde 14 Avans ödemeleri 1. Madde</w:t>
            </w:r>
            <w:r>
              <w:rPr>
                <w:color w:val="221F1F"/>
              </w:rPr>
              <w:t xml:space="preserve">ye göre </w:t>
            </w:r>
            <w:r w:rsidRPr="0085472D">
              <w:rPr>
                <w:color w:val="221F1F"/>
              </w:rPr>
              <w:t>Bütçe kuruluşlarının, sermaye projeleri ve mal ve hizmetler için yüklenicilere sözleşme bedelinin yüzde on beşine (%15) kadar avans ödemesi yapabileceğini belirtmektedir.</w:t>
            </w:r>
            <w:r>
              <w:rPr>
                <w:color w:val="221F1F"/>
              </w:rPr>
              <w:t xml:space="preserve"> </w:t>
            </w:r>
            <w:r w:rsidRPr="0085472D">
              <w:rPr>
                <w:color w:val="221F1F"/>
              </w:rPr>
              <w:t>Bu tür avans ödemesi, ancak Kamu İhale Kanunu uyarınca ulaşılan ve değeri on bin (10.000) Euro'yu aşan, yasal olarak yapılmış bir sözleşme temelinde yapılabilir.</w:t>
            </w:r>
            <w:r>
              <w:rPr>
                <w:color w:val="221F1F"/>
              </w:rPr>
              <w:t xml:space="preserve"> </w:t>
            </w:r>
            <w:r w:rsidRPr="000674EF">
              <w:rPr>
                <w:color w:val="221F1F"/>
              </w:rPr>
              <w:t>Belediye</w:t>
            </w:r>
            <w:r>
              <w:rPr>
                <w:color w:val="221F1F"/>
              </w:rPr>
              <w:t xml:space="preserve"> </w:t>
            </w:r>
            <w:r w:rsidRPr="000674EF">
              <w:rPr>
                <w:color w:val="221F1F"/>
              </w:rPr>
              <w:t xml:space="preserve"> 04.10.2021 tarihinde, "Herkes için sağlık ve sosyal yardım" başlıklı 253.596 € tutarında bir işbirliği ve ortak finansman anlaşması </w:t>
            </w:r>
            <w:r w:rsidRPr="000674EF">
              <w:rPr>
                <w:color w:val="221F1F"/>
              </w:rPr>
              <w:lastRenderedPageBreak/>
              <w:t>imzalamıştır.</w:t>
            </w:r>
            <w:r>
              <w:rPr>
                <w:color w:val="221F1F"/>
              </w:rPr>
              <w:t xml:space="preserve"> Anlaşmay </w:t>
            </w:r>
            <w:r w:rsidRPr="00C917FE">
              <w:rPr>
                <w:color w:val="221F1F"/>
              </w:rPr>
              <w:t>göre, uygulama süresi 01.11.2021'den 31.10.2022'ye kadar başlıyor, bu da anlaşmanın imzalanmasından sonra belediyenin fonlarının bir kısmının aktarılmaya başlandığını belirtti.</w:t>
            </w:r>
            <w:r>
              <w:rPr>
                <w:color w:val="221F1F"/>
              </w:rPr>
              <w:t xml:space="preserve"> </w:t>
            </w:r>
            <w:r w:rsidRPr="00C917FE">
              <w:rPr>
                <w:color w:val="221F1F"/>
              </w:rPr>
              <w:t>Ancak mal avanslarının 2021 bütçe kanunu gereği yapılmadığını fark ettik.Ekim 2021'de belediye 96.349€ tutarında 3 avans ödedi.</w:t>
            </w:r>
          </w:p>
          <w:p w:rsidR="00D618F2" w:rsidRPr="00193082" w:rsidRDefault="00D618F2" w:rsidP="00C8402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D618F2" w:rsidRPr="00193082" w:rsidRDefault="005A59B4" w:rsidP="00193082">
            <w:pPr>
              <w:pStyle w:val="NoSpacing"/>
              <w:rPr>
                <w:rFonts w:ascii="Times New Roman" w:hAnsi="Times New Roman" w:cs="Times New Roman"/>
              </w:rPr>
            </w:pPr>
            <w:r w:rsidRPr="005A59B4">
              <w:rPr>
                <w:rFonts w:ascii="Times New Roman" w:hAnsi="Times New Roman" w:cs="Times New Roman"/>
                <w:color w:val="221F1F"/>
              </w:rPr>
              <w:lastRenderedPageBreak/>
              <w:t>Belediye başkanı, ödemelerin/avansların bütçenin yasal olarak belirlenmiş yüzdelerine uygun olarak yapıldığını doğrulayan kontrol noktasının etkin işleyişini sağlamalıdır.</w:t>
            </w:r>
            <w:r w:rsidR="00D618F2">
              <w:rPr>
                <w:rFonts w:ascii="Times New Roman" w:hAnsi="Times New Roman" w:cs="Times New Roman"/>
                <w:color w:val="221F1F"/>
              </w:rPr>
              <w:t>.</w:t>
            </w:r>
          </w:p>
        </w:tc>
        <w:tc>
          <w:tcPr>
            <w:tcW w:w="3330" w:type="dxa"/>
          </w:tcPr>
          <w:p w:rsidR="00D618F2" w:rsidRPr="00193082" w:rsidRDefault="003709CE" w:rsidP="00FF7727">
            <w:pPr>
              <w:rPr>
                <w:rFonts w:ascii="Times New Roman" w:hAnsi="Times New Roman" w:cs="Times New Roman"/>
                <w:lang w:val="sq-AL"/>
              </w:rPr>
            </w:pPr>
            <w:r w:rsidRPr="003709CE">
              <w:rPr>
                <w:rFonts w:ascii="Times New Roman" w:hAnsi="Times New Roman" w:cs="Times New Roman"/>
                <w:iCs/>
                <w:lang w:val="sq-AL"/>
              </w:rPr>
              <w:t>Mali yılda bu konuda böyle bir olgumuz olmadı ve ödemeler hizmete göre yapıldı.</w:t>
            </w:r>
          </w:p>
        </w:tc>
        <w:tc>
          <w:tcPr>
            <w:tcW w:w="1980" w:type="dxa"/>
          </w:tcPr>
          <w:p w:rsidR="00D618F2" w:rsidRPr="00193082" w:rsidRDefault="003709CE" w:rsidP="00FF7727">
            <w:pPr>
              <w:tabs>
                <w:tab w:val="left" w:pos="1300"/>
              </w:tabs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 xml:space="preserve">Uygulanmış </w:t>
            </w:r>
          </w:p>
        </w:tc>
        <w:tc>
          <w:tcPr>
            <w:tcW w:w="1512" w:type="dxa"/>
          </w:tcPr>
          <w:p w:rsidR="00D618F2" w:rsidRPr="00193082" w:rsidRDefault="00D618F2" w:rsidP="00193082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D618F2" w:rsidRPr="00193082" w:rsidTr="00D618F2">
        <w:tc>
          <w:tcPr>
            <w:tcW w:w="1913" w:type="dxa"/>
          </w:tcPr>
          <w:p w:rsidR="00D618F2" w:rsidRPr="00193082" w:rsidRDefault="003709CE" w:rsidP="00193082">
            <w:pPr>
              <w:pStyle w:val="NoSpacing"/>
              <w:rPr>
                <w:rFonts w:ascii="Times New Roman" w:hAnsi="Times New Roman" w:cs="Times New Roman"/>
              </w:rPr>
            </w:pPr>
            <w:r w:rsidRPr="003709CE">
              <w:rPr>
                <w:rFonts w:ascii="Times New Roman" w:hAnsi="Times New Roman" w:cs="Times New Roman"/>
                <w:color w:val="221F1F"/>
              </w:rPr>
              <w:lastRenderedPageBreak/>
              <w:t>Geç taahhüt ve satın alma siparişi</w:t>
            </w:r>
          </w:p>
        </w:tc>
        <w:tc>
          <w:tcPr>
            <w:tcW w:w="2790" w:type="dxa"/>
          </w:tcPr>
          <w:p w:rsidR="003709CE" w:rsidRPr="003709CE" w:rsidRDefault="003709CE" w:rsidP="003709CE">
            <w:pPr>
              <w:pStyle w:val="NoSpacing"/>
              <w:rPr>
                <w:rFonts w:ascii="Times New Roman" w:hAnsi="Times New Roman" w:cs="Times New Roman"/>
                <w:color w:val="221F1F"/>
              </w:rPr>
            </w:pPr>
            <w:r w:rsidRPr="003709CE">
              <w:rPr>
                <w:rFonts w:ascii="Times New Roman" w:hAnsi="Times New Roman" w:cs="Times New Roman"/>
                <w:color w:val="221F1F"/>
              </w:rPr>
              <w:t>01/2013 Sayılı Mali Kural, Madde 22, önce satın alma isteminin (para taahüttü ) yapılması, satın alma siparişinin işlenmesi, ardından malların kabul edilmesi ve daha sonra faturayı aldıktan sonra ödemeyi gerçekleştir</w:t>
            </w:r>
            <w:r>
              <w:rPr>
                <w:rFonts w:ascii="Times New Roman" w:hAnsi="Times New Roman" w:cs="Times New Roman"/>
                <w:color w:val="221F1F"/>
              </w:rPr>
              <w:t xml:space="preserve">mesi gibi adımlarını tanımlar. </w:t>
            </w:r>
            <w:r w:rsidRPr="003709CE">
              <w:rPr>
                <w:rFonts w:ascii="Times New Roman" w:hAnsi="Times New Roman" w:cs="Times New Roman"/>
                <w:color w:val="221F1F"/>
              </w:rPr>
              <w:t>71.844 € tutarında 4 ödemenin test edilmesi sırasında, taahhüdün ve satın alma siparişi faturaların alınmasından sonra verildiğini fark ettik. Bu durumlar aşağıdaki gibidir:</w:t>
            </w:r>
          </w:p>
          <w:p w:rsidR="003709CE" w:rsidRPr="003709CE" w:rsidRDefault="003709CE" w:rsidP="003709CE">
            <w:pPr>
              <w:pStyle w:val="NoSpacing"/>
              <w:rPr>
                <w:rFonts w:ascii="Times New Roman" w:hAnsi="Times New Roman" w:cs="Times New Roman"/>
                <w:color w:val="221F1F"/>
              </w:rPr>
            </w:pPr>
            <w:r w:rsidRPr="003709CE">
              <w:rPr>
                <w:rFonts w:ascii="Times New Roman" w:hAnsi="Times New Roman" w:cs="Times New Roman"/>
                <w:color w:val="221F1F"/>
              </w:rPr>
              <w:t xml:space="preserve">14.049 € tutarındaki 2 ödemede, taahhüt ve satın </w:t>
            </w:r>
            <w:r w:rsidRPr="003709CE">
              <w:rPr>
                <w:rFonts w:ascii="Times New Roman" w:hAnsi="Times New Roman" w:cs="Times New Roman"/>
                <w:color w:val="221F1F"/>
              </w:rPr>
              <w:lastRenderedPageBreak/>
              <w:t>alma siparişleri faturanın alınmasından sonra düzenlendi</w:t>
            </w:r>
          </w:p>
          <w:p w:rsidR="00D618F2" w:rsidRPr="00193082" w:rsidRDefault="003709CE" w:rsidP="003709CE">
            <w:pPr>
              <w:pStyle w:val="NoSpacing"/>
              <w:rPr>
                <w:rFonts w:ascii="Times New Roman" w:hAnsi="Times New Roman" w:cs="Times New Roman"/>
              </w:rPr>
            </w:pPr>
            <w:r w:rsidRPr="003709CE">
              <w:rPr>
                <w:rFonts w:ascii="Times New Roman" w:hAnsi="Times New Roman" w:cs="Times New Roman"/>
                <w:color w:val="221F1F"/>
              </w:rPr>
              <w:t>57.795 € tutarındaki 2 ödemede, satın alma siparişi faturanın alınmasından sonra düzenlendi.</w:t>
            </w:r>
          </w:p>
        </w:tc>
        <w:tc>
          <w:tcPr>
            <w:tcW w:w="2880" w:type="dxa"/>
          </w:tcPr>
          <w:p w:rsidR="00D618F2" w:rsidRPr="00193082" w:rsidRDefault="003709CE" w:rsidP="00193082">
            <w:pPr>
              <w:pStyle w:val="NoSpacing"/>
              <w:rPr>
                <w:rFonts w:ascii="Times New Roman" w:hAnsi="Times New Roman" w:cs="Times New Roman"/>
              </w:rPr>
            </w:pPr>
            <w:r w:rsidRPr="003709CE">
              <w:rPr>
                <w:rFonts w:ascii="Times New Roman" w:hAnsi="Times New Roman" w:cs="Times New Roman"/>
                <w:color w:val="221F1F"/>
              </w:rPr>
              <w:lastRenderedPageBreak/>
              <w:t>Belediye Başkanı, ödeme yürütme sürecinin kamu parasının harcanmasına ilişkin mali kurallarla uyumlu olması için iç kontrollerin iyileştirilmesini sağlamalıdır.</w:t>
            </w:r>
          </w:p>
        </w:tc>
        <w:tc>
          <w:tcPr>
            <w:tcW w:w="3330" w:type="dxa"/>
          </w:tcPr>
          <w:p w:rsidR="00D618F2" w:rsidRPr="00193082" w:rsidRDefault="003709CE" w:rsidP="003709CE">
            <w:pPr>
              <w:pStyle w:val="NoSpacing"/>
              <w:rPr>
                <w:rFonts w:ascii="Times New Roman" w:hAnsi="Times New Roman" w:cs="Times New Roman"/>
              </w:rPr>
            </w:pPr>
            <w:r w:rsidRPr="003709CE">
              <w:rPr>
                <w:rFonts w:ascii="Times New Roman" w:hAnsi="Times New Roman" w:cs="Times New Roman"/>
              </w:rPr>
              <w:t>04.07.2022 tarihinde Mamuşa Belediyesi'nin tüm sektörleri için 2022 yılı için mali olmayan varlıkların envanteri komisyonunun atanması ve mali olmayan varlıkların değerlendirilmesi komisyonunun atanmasına ilişkin karar alınmıştır</w:t>
            </w:r>
            <w:r w:rsidR="00D618F2" w:rsidRPr="00FF77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</w:tcPr>
          <w:p w:rsidR="00D618F2" w:rsidRPr="00193082" w:rsidRDefault="003709CE" w:rsidP="00FF7727">
            <w:pPr>
              <w:tabs>
                <w:tab w:val="left" w:pos="1300"/>
              </w:tabs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Uygulama sürecinde</w:t>
            </w:r>
          </w:p>
        </w:tc>
        <w:tc>
          <w:tcPr>
            <w:tcW w:w="1512" w:type="dxa"/>
          </w:tcPr>
          <w:p w:rsidR="00D618F2" w:rsidRPr="00193082" w:rsidRDefault="00D618F2" w:rsidP="00193082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3709CE" w:rsidRPr="00193082" w:rsidTr="00D618F2">
        <w:tc>
          <w:tcPr>
            <w:tcW w:w="1913" w:type="dxa"/>
          </w:tcPr>
          <w:p w:rsidR="003709CE" w:rsidRPr="003709CE" w:rsidRDefault="003709CE" w:rsidP="00193082">
            <w:pPr>
              <w:pStyle w:val="NoSpacing"/>
              <w:rPr>
                <w:rFonts w:ascii="Times New Roman" w:hAnsi="Times New Roman" w:cs="Times New Roman"/>
                <w:color w:val="221F1F"/>
              </w:rPr>
            </w:pPr>
            <w:r w:rsidRPr="007944D9">
              <w:rPr>
                <w:rFonts w:ascii="Times New Roman" w:hAnsi="Times New Roman" w:cs="Times New Roman"/>
                <w:color w:val="221F1F"/>
              </w:rPr>
              <w:lastRenderedPageBreak/>
              <w:t>İç denetim hizmetinin sağlanamaması</w:t>
            </w:r>
          </w:p>
        </w:tc>
        <w:tc>
          <w:tcPr>
            <w:tcW w:w="2790" w:type="dxa"/>
          </w:tcPr>
          <w:p w:rsidR="003709CE" w:rsidRDefault="003709CE" w:rsidP="003709CE">
            <w:pPr>
              <w:pStyle w:val="NoSpacing"/>
              <w:rPr>
                <w:rFonts w:ascii="Times New Roman" w:hAnsi="Times New Roman" w:cs="Times New Roman"/>
                <w:color w:val="221F1F"/>
              </w:rPr>
            </w:pPr>
            <w:r w:rsidRPr="00861E9E">
              <w:rPr>
                <w:rFonts w:ascii="Times New Roman" w:hAnsi="Times New Roman" w:cs="Times New Roman"/>
                <w:color w:val="221F1F"/>
              </w:rPr>
              <w:t>Kamu Maliyesinin İç Kontrolü için</w:t>
            </w:r>
            <w:r>
              <w:rPr>
                <w:rFonts w:ascii="Times New Roman" w:hAnsi="Times New Roman" w:cs="Times New Roman"/>
                <w:color w:val="221F1F"/>
              </w:rPr>
              <w:t xml:space="preserve"> </w:t>
            </w:r>
            <w:r w:rsidRPr="00861E9E">
              <w:rPr>
                <w:rFonts w:ascii="Times New Roman" w:hAnsi="Times New Roman" w:cs="Times New Roman"/>
                <w:color w:val="221F1F"/>
              </w:rPr>
              <w:t>06/L-021 no</w:t>
            </w:r>
            <w:r>
              <w:rPr>
                <w:rFonts w:ascii="Times New Roman" w:hAnsi="Times New Roman" w:cs="Times New Roman"/>
                <w:color w:val="221F1F"/>
              </w:rPr>
              <w:t>lu</w:t>
            </w:r>
            <w:r w:rsidRPr="00861E9E">
              <w:rPr>
                <w:rFonts w:ascii="Times New Roman" w:hAnsi="Times New Roman" w:cs="Times New Roman"/>
                <w:color w:val="221F1F"/>
              </w:rPr>
              <w:t xml:space="preserve"> Kanun</w:t>
            </w:r>
            <w:r>
              <w:rPr>
                <w:rFonts w:ascii="Times New Roman" w:hAnsi="Times New Roman" w:cs="Times New Roman"/>
                <w:color w:val="221F1F"/>
              </w:rPr>
              <w:t>,</w:t>
            </w:r>
            <w:r w:rsidRPr="00861E9E">
              <w:rPr>
                <w:rFonts w:ascii="Times New Roman" w:hAnsi="Times New Roman" w:cs="Times New Roman"/>
                <w:color w:val="221F1F"/>
              </w:rPr>
              <w:t xml:space="preserve"> kamu sektörü kuruluşunda iç denetim fonksiyonunun oluşturulması ve uygulanması için</w:t>
            </w:r>
            <w:r>
              <w:rPr>
                <w:rFonts w:ascii="Times New Roman" w:hAnsi="Times New Roman" w:cs="Times New Roman"/>
                <w:color w:val="221F1F"/>
              </w:rPr>
              <w:t xml:space="preserve"> KCH-nın</w:t>
            </w:r>
            <w:r>
              <w:t xml:space="preserve"> </w:t>
            </w:r>
            <w:r w:rsidRPr="008057ED">
              <w:rPr>
                <w:rFonts w:ascii="Times New Roman" w:hAnsi="Times New Roman" w:cs="Times New Roman"/>
                <w:color w:val="221F1F"/>
              </w:rPr>
              <w:t>01/2019</w:t>
            </w:r>
            <w:r>
              <w:rPr>
                <w:rFonts w:ascii="Times New Roman" w:hAnsi="Times New Roman" w:cs="Times New Roman"/>
                <w:color w:val="221F1F"/>
              </w:rPr>
              <w:t xml:space="preserve"> nolu </w:t>
            </w:r>
            <w:r w:rsidRPr="008057ED">
              <w:rPr>
                <w:rFonts w:ascii="Times New Roman" w:hAnsi="Times New Roman" w:cs="Times New Roman"/>
                <w:color w:val="221F1F"/>
              </w:rPr>
              <w:t>Yönetmeliği</w:t>
            </w:r>
            <w:r>
              <w:rPr>
                <w:rFonts w:ascii="Times New Roman" w:hAnsi="Times New Roman" w:cs="Times New Roman"/>
                <w:color w:val="221F1F"/>
              </w:rPr>
              <w:t xml:space="preserve">nin madde </w:t>
            </w:r>
            <w:r w:rsidRPr="00861E9E">
              <w:rPr>
                <w:rFonts w:ascii="Times New Roman" w:hAnsi="Times New Roman" w:cs="Times New Roman"/>
                <w:color w:val="221F1F"/>
              </w:rPr>
              <w:t>4</w:t>
            </w:r>
            <w:r>
              <w:rPr>
                <w:rFonts w:ascii="Times New Roman" w:hAnsi="Times New Roman" w:cs="Times New Roman"/>
                <w:color w:val="221F1F"/>
              </w:rPr>
              <w:t xml:space="preserve"> ve 5, İDB-nın </w:t>
            </w:r>
            <w:r w:rsidRPr="008057ED">
              <w:rPr>
                <w:rFonts w:ascii="Times New Roman" w:hAnsi="Times New Roman" w:cs="Times New Roman"/>
                <w:color w:val="221F1F"/>
              </w:rPr>
              <w:t>kuruluş şeklini ve işlevini belirle</w:t>
            </w:r>
            <w:r>
              <w:rPr>
                <w:rFonts w:ascii="Times New Roman" w:hAnsi="Times New Roman" w:cs="Times New Roman"/>
                <w:color w:val="221F1F"/>
              </w:rPr>
              <w:t>rler</w:t>
            </w:r>
            <w:r w:rsidRPr="003003CF">
              <w:rPr>
                <w:rFonts w:ascii="Times New Roman" w:hAnsi="Times New Roman" w:cs="Times New Roman"/>
                <w:color w:val="221F1F"/>
              </w:rPr>
              <w:t xml:space="preserve">. </w:t>
            </w:r>
            <w:r w:rsidRPr="008057ED">
              <w:rPr>
                <w:rFonts w:ascii="Times New Roman" w:hAnsi="Times New Roman" w:cs="Times New Roman"/>
                <w:color w:val="221F1F"/>
              </w:rPr>
              <w:t>Madde 5'e dayanarak</w:t>
            </w:r>
            <w:r w:rsidRPr="003003CF">
              <w:rPr>
                <w:rFonts w:ascii="Times New Roman" w:hAnsi="Times New Roman" w:cs="Times New Roman"/>
                <w:color w:val="221F1F"/>
              </w:rPr>
              <w:t>“</w:t>
            </w:r>
            <w:r w:rsidRPr="008057ED">
              <w:rPr>
                <w:rFonts w:ascii="Times New Roman" w:hAnsi="Times New Roman" w:cs="Times New Roman"/>
                <w:color w:val="221F1F"/>
              </w:rPr>
              <w:t>Üç (3.000.000 €) milyon Euro'dan daha az bütçeye sahip kamu sektörü kuruluşu</w:t>
            </w:r>
            <w:r>
              <w:rPr>
                <w:rFonts w:ascii="Times New Roman" w:hAnsi="Times New Roman" w:cs="Times New Roman"/>
                <w:color w:val="221F1F"/>
              </w:rPr>
              <w:t xml:space="preserve"> </w:t>
            </w:r>
            <w:r w:rsidRPr="008057ED">
              <w:rPr>
                <w:rFonts w:ascii="Times New Roman" w:hAnsi="Times New Roman" w:cs="Times New Roman"/>
                <w:color w:val="221F1F"/>
              </w:rPr>
              <w:t>iç denetim fonksiyonu</w:t>
            </w:r>
            <w:r>
              <w:rPr>
                <w:rFonts w:ascii="Times New Roman" w:hAnsi="Times New Roman" w:cs="Times New Roman"/>
                <w:color w:val="221F1F"/>
              </w:rPr>
              <w:t xml:space="preserve">nu </w:t>
            </w:r>
            <w:r w:rsidRPr="008057ED">
              <w:rPr>
                <w:rFonts w:ascii="Times New Roman" w:hAnsi="Times New Roman" w:cs="Times New Roman"/>
                <w:color w:val="221F1F"/>
              </w:rPr>
              <w:t>bu Yönetmeliğin</w:t>
            </w:r>
            <w:r>
              <w:rPr>
                <w:rFonts w:ascii="Times New Roman" w:hAnsi="Times New Roman" w:cs="Times New Roman"/>
                <w:color w:val="221F1F"/>
              </w:rPr>
              <w:t xml:space="preserve"> </w:t>
            </w:r>
            <w:r w:rsidRPr="008057ED">
              <w:rPr>
                <w:rFonts w:ascii="Times New Roman" w:hAnsi="Times New Roman" w:cs="Times New Roman"/>
                <w:color w:val="221F1F"/>
              </w:rPr>
              <w:t>4. Maddenin</w:t>
            </w:r>
            <w:r>
              <w:rPr>
                <w:rFonts w:ascii="Times New Roman" w:hAnsi="Times New Roman" w:cs="Times New Roman"/>
                <w:color w:val="221F1F"/>
              </w:rPr>
              <w:t xml:space="preserve">  </w:t>
            </w:r>
            <w:r w:rsidRPr="008057ED">
              <w:rPr>
                <w:rFonts w:ascii="Times New Roman" w:hAnsi="Times New Roman" w:cs="Times New Roman"/>
                <w:color w:val="221F1F"/>
              </w:rPr>
              <w:t>1.2, 1.3</w:t>
            </w:r>
            <w:r>
              <w:rPr>
                <w:rFonts w:ascii="Times New Roman" w:hAnsi="Times New Roman" w:cs="Times New Roman"/>
                <w:color w:val="221F1F"/>
              </w:rPr>
              <w:t>,</w:t>
            </w:r>
            <w:r w:rsidRPr="008057ED">
              <w:rPr>
                <w:rFonts w:ascii="Times New Roman" w:hAnsi="Times New Roman" w:cs="Times New Roman"/>
                <w:color w:val="221F1F"/>
              </w:rPr>
              <w:t xml:space="preserve"> 1.4</w:t>
            </w:r>
            <w:r w:rsidRPr="003003CF">
              <w:rPr>
                <w:rFonts w:ascii="Times New Roman" w:hAnsi="Times New Roman" w:cs="Times New Roman"/>
                <w:color w:val="221F1F"/>
              </w:rPr>
              <w:t xml:space="preserve">, </w:t>
            </w:r>
            <w:r w:rsidRPr="008057ED">
              <w:rPr>
                <w:rFonts w:ascii="Times New Roman" w:hAnsi="Times New Roman" w:cs="Times New Roman"/>
                <w:color w:val="221F1F"/>
              </w:rPr>
              <w:t>alt paragraflarına göre</w:t>
            </w:r>
            <w:r>
              <w:rPr>
                <w:rFonts w:ascii="Times New Roman" w:hAnsi="Times New Roman" w:cs="Times New Roman"/>
                <w:color w:val="221F1F"/>
              </w:rPr>
              <w:t xml:space="preserve"> </w:t>
            </w:r>
            <w:r w:rsidRPr="001D31F3">
              <w:rPr>
                <w:rFonts w:ascii="Times New Roman" w:hAnsi="Times New Roman" w:cs="Times New Roman"/>
                <w:color w:val="221F1F"/>
              </w:rPr>
              <w:t>başka yollarla uygula</w:t>
            </w:r>
            <w:r>
              <w:rPr>
                <w:rFonts w:ascii="Times New Roman" w:hAnsi="Times New Roman" w:cs="Times New Roman"/>
                <w:color w:val="221F1F"/>
              </w:rPr>
              <w:t>sın</w:t>
            </w:r>
            <w:r w:rsidRPr="008057ED">
              <w:rPr>
                <w:rFonts w:ascii="Times New Roman" w:hAnsi="Times New Roman" w:cs="Times New Roman"/>
                <w:color w:val="221F1F"/>
              </w:rPr>
              <w:t>.</w:t>
            </w:r>
            <w:r w:rsidRPr="003003CF">
              <w:rPr>
                <w:rFonts w:ascii="Times New Roman" w:hAnsi="Times New Roman" w:cs="Times New Roman"/>
                <w:color w:val="221F1F"/>
              </w:rPr>
              <w:t xml:space="preserve"> (</w:t>
            </w:r>
            <w:r w:rsidRPr="001D31F3">
              <w:rPr>
                <w:rFonts w:ascii="Times New Roman" w:hAnsi="Times New Roman" w:cs="Times New Roman"/>
                <w:color w:val="221F1F"/>
              </w:rPr>
              <w:t>MB</w:t>
            </w:r>
            <w:r>
              <w:rPr>
                <w:rFonts w:ascii="Times New Roman" w:hAnsi="Times New Roman" w:cs="Times New Roman"/>
                <w:color w:val="221F1F"/>
              </w:rPr>
              <w:t>-nın</w:t>
            </w:r>
            <w:r w:rsidRPr="001D31F3">
              <w:rPr>
                <w:rFonts w:ascii="Times New Roman" w:hAnsi="Times New Roman" w:cs="Times New Roman"/>
                <w:color w:val="221F1F"/>
              </w:rPr>
              <w:t xml:space="preserve"> onayı/ön onayı ile belirlenen kriterlere göre bir kamu kuruluşu tarafından denetim hizmetlerinin sağlanması için ortak bir birim veya anlaşma kurulması veya profesyonel bir şirket ile sözleşme yapılması</w:t>
            </w:r>
            <w:r w:rsidRPr="003003CF">
              <w:rPr>
                <w:rFonts w:ascii="Times New Roman" w:hAnsi="Times New Roman" w:cs="Times New Roman"/>
                <w:color w:val="221F1F"/>
              </w:rPr>
              <w:t>).</w:t>
            </w:r>
          </w:p>
          <w:p w:rsidR="003709CE" w:rsidRDefault="003709CE" w:rsidP="003709CE">
            <w:pPr>
              <w:pStyle w:val="NoSpacing"/>
              <w:rPr>
                <w:rFonts w:ascii="Times New Roman" w:hAnsi="Times New Roman" w:cs="Times New Roman"/>
                <w:color w:val="221F1F"/>
              </w:rPr>
            </w:pPr>
          </w:p>
          <w:p w:rsidR="003709CE" w:rsidRPr="00736972" w:rsidRDefault="003709CE" w:rsidP="003709CE">
            <w:pPr>
              <w:pStyle w:val="NoSpacing"/>
              <w:rPr>
                <w:rFonts w:ascii="Times New Roman" w:hAnsi="Times New Roman" w:cs="Times New Roman"/>
                <w:color w:val="221F1F"/>
              </w:rPr>
            </w:pPr>
            <w:r w:rsidRPr="001D31F3">
              <w:rPr>
                <w:rFonts w:ascii="Times New Roman" w:hAnsi="Times New Roman" w:cs="Times New Roman"/>
                <w:color w:val="221F1F"/>
              </w:rPr>
              <w:t>Belediye</w:t>
            </w:r>
            <w:r>
              <w:rPr>
                <w:rFonts w:ascii="Times New Roman" w:hAnsi="Times New Roman" w:cs="Times New Roman"/>
                <w:color w:val="221F1F"/>
              </w:rPr>
              <w:t xml:space="preserve">nin </w:t>
            </w:r>
            <w:r w:rsidRPr="001D31F3">
              <w:rPr>
                <w:rFonts w:ascii="Times New Roman" w:hAnsi="Times New Roman" w:cs="Times New Roman"/>
                <w:color w:val="221F1F"/>
              </w:rPr>
              <w:t xml:space="preserve">ihtiyaçları için </w:t>
            </w:r>
            <w:r w:rsidRPr="001D31F3">
              <w:rPr>
                <w:rFonts w:ascii="Times New Roman" w:hAnsi="Times New Roman" w:cs="Times New Roman"/>
                <w:color w:val="221F1F"/>
              </w:rPr>
              <w:lastRenderedPageBreak/>
              <w:t>iç denetim hizmeti</w:t>
            </w:r>
            <w:r>
              <w:rPr>
                <w:rFonts w:ascii="Times New Roman" w:hAnsi="Times New Roman" w:cs="Times New Roman"/>
                <w:color w:val="221F1F"/>
              </w:rPr>
              <w:t xml:space="preserve"> için </w:t>
            </w:r>
            <w:r w:rsidRPr="001D31F3">
              <w:rPr>
                <w:rFonts w:ascii="Times New Roman" w:hAnsi="Times New Roman" w:cs="Times New Roman"/>
                <w:color w:val="221F1F"/>
              </w:rPr>
              <w:t>Maliye Bakanlığı'na 05.10.2021</w:t>
            </w:r>
            <w:r>
              <w:rPr>
                <w:rFonts w:ascii="Times New Roman" w:hAnsi="Times New Roman" w:cs="Times New Roman"/>
                <w:color w:val="221F1F"/>
              </w:rPr>
              <w:t xml:space="preserve"> tarihinde </w:t>
            </w:r>
            <w:r w:rsidRPr="001D31F3">
              <w:rPr>
                <w:rFonts w:ascii="Times New Roman" w:hAnsi="Times New Roman" w:cs="Times New Roman"/>
                <w:color w:val="221F1F"/>
              </w:rPr>
              <w:t xml:space="preserve">bir </w:t>
            </w:r>
            <w:r>
              <w:rPr>
                <w:rFonts w:ascii="Times New Roman" w:hAnsi="Times New Roman" w:cs="Times New Roman"/>
                <w:color w:val="221F1F"/>
              </w:rPr>
              <w:t xml:space="preserve">istem </w:t>
            </w:r>
            <w:r w:rsidRPr="001D31F3">
              <w:rPr>
                <w:rFonts w:ascii="Times New Roman" w:hAnsi="Times New Roman" w:cs="Times New Roman"/>
                <w:color w:val="221F1F"/>
              </w:rPr>
              <w:t>göndermesine rağmen</w:t>
            </w:r>
            <w:r>
              <w:rPr>
                <w:rFonts w:ascii="Times New Roman" w:hAnsi="Times New Roman" w:cs="Times New Roman"/>
                <w:color w:val="221F1F"/>
              </w:rPr>
              <w:t xml:space="preserve"> </w:t>
            </w:r>
            <w:r w:rsidRPr="001D31F3">
              <w:rPr>
                <w:rFonts w:ascii="Times New Roman" w:hAnsi="Times New Roman" w:cs="Times New Roman"/>
                <w:color w:val="221F1F"/>
              </w:rPr>
              <w:t>2021</w:t>
            </w:r>
            <w:r>
              <w:rPr>
                <w:rFonts w:ascii="Times New Roman" w:hAnsi="Times New Roman" w:cs="Times New Roman"/>
                <w:color w:val="221F1F"/>
              </w:rPr>
              <w:t xml:space="preserve"> </w:t>
            </w:r>
            <w:r w:rsidRPr="001D31F3">
              <w:rPr>
                <w:rFonts w:ascii="Times New Roman" w:hAnsi="Times New Roman" w:cs="Times New Roman"/>
                <w:color w:val="221F1F"/>
              </w:rPr>
              <w:t xml:space="preserve">yılında </w:t>
            </w:r>
            <w:r>
              <w:rPr>
                <w:rFonts w:ascii="Times New Roman" w:hAnsi="Times New Roman" w:cs="Times New Roman"/>
                <w:color w:val="221F1F"/>
              </w:rPr>
              <w:t xml:space="preserve">Belediye </w:t>
            </w:r>
            <w:r w:rsidRPr="001D31F3">
              <w:rPr>
                <w:rFonts w:ascii="Times New Roman" w:hAnsi="Times New Roman" w:cs="Times New Roman"/>
                <w:color w:val="221F1F"/>
              </w:rPr>
              <w:t>denetlenmedi</w:t>
            </w:r>
            <w:r>
              <w:rPr>
                <w:rFonts w:ascii="Times New Roman" w:hAnsi="Times New Roman" w:cs="Times New Roman"/>
                <w:color w:val="221F1F"/>
              </w:rPr>
              <w:t>.</w:t>
            </w:r>
            <w:r w:rsidRPr="001D31F3">
              <w:rPr>
                <w:rFonts w:ascii="Times New Roman" w:hAnsi="Times New Roman" w:cs="Times New Roman"/>
                <w:color w:val="221F1F"/>
              </w:rPr>
              <w:t xml:space="preserve"> </w:t>
            </w:r>
            <w:r w:rsidRPr="00736972">
              <w:rPr>
                <w:rFonts w:ascii="Times New Roman" w:hAnsi="Times New Roman" w:cs="Times New Roman"/>
                <w:color w:val="221F1F"/>
              </w:rPr>
              <w:t>Bu konuyla ilgili olarak belediye 2020 yılı için talep</w:t>
            </w:r>
            <w:bookmarkStart w:id="0" w:name="_GoBack"/>
            <w:bookmarkEnd w:id="0"/>
            <w:r w:rsidRPr="00736972">
              <w:rPr>
                <w:rFonts w:ascii="Times New Roman" w:hAnsi="Times New Roman" w:cs="Times New Roman"/>
                <w:color w:val="221F1F"/>
              </w:rPr>
              <w:t>te bulunmuş ancak iç denetim raporu sağlayamamıştı.</w:t>
            </w:r>
          </w:p>
          <w:p w:rsidR="003709CE" w:rsidRPr="003709CE" w:rsidRDefault="003709CE" w:rsidP="003709CE">
            <w:pPr>
              <w:pStyle w:val="NoSpacing"/>
              <w:rPr>
                <w:rFonts w:ascii="Times New Roman" w:hAnsi="Times New Roman" w:cs="Times New Roman"/>
                <w:color w:val="221F1F"/>
              </w:rPr>
            </w:pPr>
          </w:p>
        </w:tc>
        <w:tc>
          <w:tcPr>
            <w:tcW w:w="2880" w:type="dxa"/>
          </w:tcPr>
          <w:p w:rsidR="003709CE" w:rsidRDefault="003709CE" w:rsidP="003709CE">
            <w:pPr>
              <w:pStyle w:val="NoSpacing"/>
              <w:rPr>
                <w:rFonts w:ascii="Times New Roman" w:hAnsi="Times New Roman" w:cs="Times New Roman"/>
                <w:color w:val="221F1F"/>
              </w:rPr>
            </w:pPr>
            <w:r>
              <w:rPr>
                <w:rFonts w:ascii="Times New Roman" w:hAnsi="Times New Roman" w:cs="Times New Roman"/>
                <w:color w:val="221F1F"/>
              </w:rPr>
              <w:lastRenderedPageBreak/>
              <w:t>B</w:t>
            </w:r>
            <w:r w:rsidRPr="006F5E54">
              <w:rPr>
                <w:rFonts w:ascii="Times New Roman" w:hAnsi="Times New Roman" w:cs="Times New Roman"/>
                <w:color w:val="221F1F"/>
              </w:rPr>
              <w:t>elediye Başkanı, Belediyenin işleyişine değer katmayı ve iyileştirmeyi amaçlayan, hedeflerin gerçekleştirilmesine yardımcı olan, sistematik, disiplinli bir yaklaşım sunan, risk yönetim süreçlerinin etkinliğini değerlendirmek ve geliştirmek, kontrol ve Yönetim</w:t>
            </w:r>
            <w:r>
              <w:rPr>
                <w:rFonts w:ascii="Times New Roman" w:hAnsi="Times New Roman" w:cs="Times New Roman"/>
                <w:color w:val="221F1F"/>
              </w:rPr>
              <w:t xml:space="preserve"> sağlamak</w:t>
            </w:r>
            <w:r w:rsidRPr="003003CF">
              <w:rPr>
                <w:rFonts w:ascii="Times New Roman" w:hAnsi="Times New Roman" w:cs="Times New Roman"/>
                <w:color w:val="221F1F"/>
              </w:rPr>
              <w:t>.</w:t>
            </w:r>
          </w:p>
          <w:p w:rsidR="003709CE" w:rsidRPr="003709CE" w:rsidRDefault="003709CE" w:rsidP="00193082">
            <w:pPr>
              <w:pStyle w:val="NoSpacing"/>
              <w:rPr>
                <w:rFonts w:ascii="Times New Roman" w:hAnsi="Times New Roman" w:cs="Times New Roman"/>
                <w:color w:val="221F1F"/>
              </w:rPr>
            </w:pPr>
          </w:p>
        </w:tc>
        <w:tc>
          <w:tcPr>
            <w:tcW w:w="3330" w:type="dxa"/>
          </w:tcPr>
          <w:p w:rsidR="003709CE" w:rsidRPr="003709CE" w:rsidRDefault="003709CE" w:rsidP="00015471">
            <w:pPr>
              <w:pStyle w:val="NoSpacing"/>
              <w:rPr>
                <w:rFonts w:ascii="Times New Roman" w:hAnsi="Times New Roman" w:cs="Times New Roman"/>
              </w:rPr>
            </w:pPr>
            <w:r w:rsidRPr="003709CE">
              <w:rPr>
                <w:rFonts w:ascii="Times New Roman" w:hAnsi="Times New Roman" w:cs="Times New Roman"/>
              </w:rPr>
              <w:t>Kurum olarak</w:t>
            </w:r>
            <w:r w:rsidR="00015471">
              <w:rPr>
                <w:rFonts w:ascii="Times New Roman" w:hAnsi="Times New Roman" w:cs="Times New Roman"/>
              </w:rPr>
              <w:t xml:space="preserve"> ÇFTB-nın </w:t>
            </w:r>
            <w:r w:rsidRPr="003709CE">
              <w:rPr>
                <w:rFonts w:ascii="Times New Roman" w:hAnsi="Times New Roman" w:cs="Times New Roman"/>
              </w:rPr>
              <w:t xml:space="preserve">İç Denetim Daire Başkanlığı'na </w:t>
            </w:r>
            <w:r w:rsidR="00015471">
              <w:rPr>
                <w:rFonts w:ascii="Times New Roman" w:hAnsi="Times New Roman" w:cs="Times New Roman"/>
              </w:rPr>
              <w:t>istemde bulunmuşuz</w:t>
            </w:r>
            <w:r w:rsidRPr="003709CE">
              <w:rPr>
                <w:rFonts w:ascii="Times New Roman" w:hAnsi="Times New Roman" w:cs="Times New Roman"/>
              </w:rPr>
              <w:t xml:space="preserve"> ve 10.08.2022 tarihinden itibaren İç Denetim aşamasındayız.</w:t>
            </w:r>
          </w:p>
        </w:tc>
        <w:tc>
          <w:tcPr>
            <w:tcW w:w="1980" w:type="dxa"/>
          </w:tcPr>
          <w:p w:rsidR="003709CE" w:rsidRDefault="00015471" w:rsidP="00FF7727">
            <w:pPr>
              <w:tabs>
                <w:tab w:val="left" w:pos="1300"/>
              </w:tabs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Uygulama sürecinde</w:t>
            </w:r>
          </w:p>
        </w:tc>
        <w:tc>
          <w:tcPr>
            <w:tcW w:w="1512" w:type="dxa"/>
          </w:tcPr>
          <w:p w:rsidR="003709CE" w:rsidRPr="00193082" w:rsidRDefault="003709CE" w:rsidP="00193082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</w:tbl>
    <w:p w:rsidR="00A90984" w:rsidRPr="00193082" w:rsidRDefault="00A90984">
      <w:pPr>
        <w:rPr>
          <w:rFonts w:ascii="Times New Roman" w:hAnsi="Times New Roman" w:cs="Times New Roman"/>
          <w:lang w:val="sq-AL"/>
        </w:rPr>
      </w:pPr>
    </w:p>
    <w:sectPr w:rsidR="00A90984" w:rsidRPr="00193082" w:rsidSect="00886BEE"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EC0" w:rsidRDefault="00955EC0" w:rsidP="00B75634">
      <w:pPr>
        <w:spacing w:after="0" w:line="240" w:lineRule="auto"/>
      </w:pPr>
      <w:r>
        <w:separator/>
      </w:r>
    </w:p>
  </w:endnote>
  <w:endnote w:type="continuationSeparator" w:id="0">
    <w:p w:rsidR="00955EC0" w:rsidRDefault="00955EC0" w:rsidP="00B75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8175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37A0" w:rsidRDefault="00AF3D66">
        <w:pPr>
          <w:pStyle w:val="Footer"/>
          <w:jc w:val="center"/>
        </w:pPr>
        <w:r>
          <w:t xml:space="preserve">30 </w:t>
        </w:r>
        <w:proofErr w:type="spellStart"/>
        <w:r>
          <w:t>Shator</w:t>
        </w:r>
        <w:proofErr w:type="spellEnd"/>
        <w:r w:rsidR="008C55D8">
          <w:t xml:space="preserve"> 2021</w:t>
        </w:r>
      </w:p>
    </w:sdtContent>
  </w:sdt>
  <w:p w:rsidR="00B75634" w:rsidRDefault="00B756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EC0" w:rsidRDefault="00955EC0" w:rsidP="00B75634">
      <w:pPr>
        <w:spacing w:after="0" w:line="240" w:lineRule="auto"/>
      </w:pPr>
      <w:r>
        <w:separator/>
      </w:r>
    </w:p>
  </w:footnote>
  <w:footnote w:type="continuationSeparator" w:id="0">
    <w:p w:rsidR="00955EC0" w:rsidRDefault="00955EC0" w:rsidP="00B75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D66E0"/>
    <w:multiLevelType w:val="hybridMultilevel"/>
    <w:tmpl w:val="E232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84"/>
    <w:rsid w:val="00007212"/>
    <w:rsid w:val="000147A1"/>
    <w:rsid w:val="00015471"/>
    <w:rsid w:val="000211E8"/>
    <w:rsid w:val="00047476"/>
    <w:rsid w:val="00052475"/>
    <w:rsid w:val="000839B7"/>
    <w:rsid w:val="000C5351"/>
    <w:rsid w:val="000C6921"/>
    <w:rsid w:val="000D1A47"/>
    <w:rsid w:val="00134AEC"/>
    <w:rsid w:val="00136C63"/>
    <w:rsid w:val="001532A7"/>
    <w:rsid w:val="001604BF"/>
    <w:rsid w:val="00187B82"/>
    <w:rsid w:val="00193082"/>
    <w:rsid w:val="001A1999"/>
    <w:rsid w:val="0020653E"/>
    <w:rsid w:val="00206DA5"/>
    <w:rsid w:val="002544E9"/>
    <w:rsid w:val="0026770F"/>
    <w:rsid w:val="002840DD"/>
    <w:rsid w:val="002A5BEE"/>
    <w:rsid w:val="002C6FDE"/>
    <w:rsid w:val="002D7F53"/>
    <w:rsid w:val="002E17AC"/>
    <w:rsid w:val="002F7CE7"/>
    <w:rsid w:val="003053B3"/>
    <w:rsid w:val="00313A18"/>
    <w:rsid w:val="003207C3"/>
    <w:rsid w:val="00331C32"/>
    <w:rsid w:val="003600B9"/>
    <w:rsid w:val="003709CE"/>
    <w:rsid w:val="003756A4"/>
    <w:rsid w:val="00386AC5"/>
    <w:rsid w:val="004911F5"/>
    <w:rsid w:val="004B57E7"/>
    <w:rsid w:val="004D70A0"/>
    <w:rsid w:val="004F1841"/>
    <w:rsid w:val="004F3FCD"/>
    <w:rsid w:val="0050456B"/>
    <w:rsid w:val="0050572C"/>
    <w:rsid w:val="00522706"/>
    <w:rsid w:val="00584F2E"/>
    <w:rsid w:val="00592253"/>
    <w:rsid w:val="005A1FCD"/>
    <w:rsid w:val="005A59B4"/>
    <w:rsid w:val="005D0943"/>
    <w:rsid w:val="005D483D"/>
    <w:rsid w:val="00602A21"/>
    <w:rsid w:val="00611B57"/>
    <w:rsid w:val="00620B7A"/>
    <w:rsid w:val="00642BA7"/>
    <w:rsid w:val="00665844"/>
    <w:rsid w:val="00680500"/>
    <w:rsid w:val="0069637B"/>
    <w:rsid w:val="006B1DE3"/>
    <w:rsid w:val="006F172A"/>
    <w:rsid w:val="006F4370"/>
    <w:rsid w:val="00724758"/>
    <w:rsid w:val="00736972"/>
    <w:rsid w:val="00750C5C"/>
    <w:rsid w:val="007520F4"/>
    <w:rsid w:val="00754BB1"/>
    <w:rsid w:val="007556DB"/>
    <w:rsid w:val="00772071"/>
    <w:rsid w:val="00782DB8"/>
    <w:rsid w:val="0078395D"/>
    <w:rsid w:val="00794B8B"/>
    <w:rsid w:val="007A2D80"/>
    <w:rsid w:val="007A48BA"/>
    <w:rsid w:val="00821EAC"/>
    <w:rsid w:val="008233C1"/>
    <w:rsid w:val="00836BC5"/>
    <w:rsid w:val="00867D13"/>
    <w:rsid w:val="0087124E"/>
    <w:rsid w:val="00886BEE"/>
    <w:rsid w:val="008929D4"/>
    <w:rsid w:val="008A7C26"/>
    <w:rsid w:val="008C55D8"/>
    <w:rsid w:val="008D7AF2"/>
    <w:rsid w:val="009144AE"/>
    <w:rsid w:val="009220F7"/>
    <w:rsid w:val="00922A40"/>
    <w:rsid w:val="00943904"/>
    <w:rsid w:val="00955EC0"/>
    <w:rsid w:val="009873B6"/>
    <w:rsid w:val="009B6FEE"/>
    <w:rsid w:val="009C1A1E"/>
    <w:rsid w:val="00A24D17"/>
    <w:rsid w:val="00A26CE4"/>
    <w:rsid w:val="00A4279D"/>
    <w:rsid w:val="00A4578C"/>
    <w:rsid w:val="00A5020E"/>
    <w:rsid w:val="00A645D6"/>
    <w:rsid w:val="00A657FC"/>
    <w:rsid w:val="00A70949"/>
    <w:rsid w:val="00A90984"/>
    <w:rsid w:val="00A92EFF"/>
    <w:rsid w:val="00AC5A2A"/>
    <w:rsid w:val="00AC6FF4"/>
    <w:rsid w:val="00AF3D66"/>
    <w:rsid w:val="00B21A50"/>
    <w:rsid w:val="00B46A2D"/>
    <w:rsid w:val="00B75634"/>
    <w:rsid w:val="00BA7EDE"/>
    <w:rsid w:val="00BF0009"/>
    <w:rsid w:val="00C0050F"/>
    <w:rsid w:val="00C14C39"/>
    <w:rsid w:val="00C2072D"/>
    <w:rsid w:val="00C306F2"/>
    <w:rsid w:val="00C41994"/>
    <w:rsid w:val="00C438F0"/>
    <w:rsid w:val="00C51554"/>
    <w:rsid w:val="00C835CC"/>
    <w:rsid w:val="00C84024"/>
    <w:rsid w:val="00C92782"/>
    <w:rsid w:val="00C94188"/>
    <w:rsid w:val="00CE1FE3"/>
    <w:rsid w:val="00CF7C87"/>
    <w:rsid w:val="00D1086D"/>
    <w:rsid w:val="00D2216E"/>
    <w:rsid w:val="00D618F2"/>
    <w:rsid w:val="00D6512F"/>
    <w:rsid w:val="00D76082"/>
    <w:rsid w:val="00D804E4"/>
    <w:rsid w:val="00DA43A0"/>
    <w:rsid w:val="00DB69CD"/>
    <w:rsid w:val="00DE6CBD"/>
    <w:rsid w:val="00E15B2B"/>
    <w:rsid w:val="00E171CC"/>
    <w:rsid w:val="00E24356"/>
    <w:rsid w:val="00E32C7E"/>
    <w:rsid w:val="00E83F89"/>
    <w:rsid w:val="00E874AF"/>
    <w:rsid w:val="00EC4808"/>
    <w:rsid w:val="00ED34A2"/>
    <w:rsid w:val="00ED784D"/>
    <w:rsid w:val="00F05DAB"/>
    <w:rsid w:val="00F137A0"/>
    <w:rsid w:val="00F21968"/>
    <w:rsid w:val="00F45FAE"/>
    <w:rsid w:val="00F53EA0"/>
    <w:rsid w:val="00F749D8"/>
    <w:rsid w:val="00FE095B"/>
    <w:rsid w:val="00FF7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984"/>
    <w:rPr>
      <w:rFonts w:ascii="Tahoma" w:hAnsi="Tahoma" w:cs="Tahoma"/>
      <w:sz w:val="16"/>
      <w:szCs w:val="16"/>
      <w:lang w:val="sq-AL"/>
    </w:rPr>
  </w:style>
  <w:style w:type="table" w:styleId="TableGrid">
    <w:name w:val="Table Grid"/>
    <w:basedOn w:val="TableNormal"/>
    <w:rsid w:val="00C83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5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634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B75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634"/>
    <w:rPr>
      <w:lang w:val="sq-AL"/>
    </w:rPr>
  </w:style>
  <w:style w:type="paragraph" w:styleId="ListParagraph">
    <w:name w:val="List Paragraph"/>
    <w:basedOn w:val="Normal"/>
    <w:uiPriority w:val="34"/>
    <w:qFormat/>
    <w:rsid w:val="004D70A0"/>
    <w:pPr>
      <w:ind w:left="720"/>
      <w:contextualSpacing/>
    </w:pPr>
  </w:style>
  <w:style w:type="paragraph" w:customStyle="1" w:styleId="Default">
    <w:name w:val="Default"/>
    <w:rsid w:val="004D70A0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Spacing">
    <w:name w:val="No Spacing"/>
    <w:uiPriority w:val="1"/>
    <w:qFormat/>
    <w:rsid w:val="009220F7"/>
    <w:pPr>
      <w:spacing w:after="0" w:line="240" w:lineRule="auto"/>
    </w:pPr>
    <w:rPr>
      <w:rFonts w:eastAsiaTheme="minorHAnsi"/>
      <w:lang w:val="sq-AL"/>
    </w:rPr>
  </w:style>
  <w:style w:type="paragraph" w:customStyle="1" w:styleId="TableParagraph">
    <w:name w:val="Table Paragraph"/>
    <w:basedOn w:val="Normal"/>
    <w:uiPriority w:val="1"/>
    <w:qFormat/>
    <w:rsid w:val="005A59B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984"/>
    <w:rPr>
      <w:rFonts w:ascii="Tahoma" w:hAnsi="Tahoma" w:cs="Tahoma"/>
      <w:sz w:val="16"/>
      <w:szCs w:val="16"/>
      <w:lang w:val="sq-AL"/>
    </w:rPr>
  </w:style>
  <w:style w:type="table" w:styleId="TableGrid">
    <w:name w:val="Table Grid"/>
    <w:basedOn w:val="TableNormal"/>
    <w:rsid w:val="00C83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5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634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B75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634"/>
    <w:rPr>
      <w:lang w:val="sq-AL"/>
    </w:rPr>
  </w:style>
  <w:style w:type="paragraph" w:styleId="ListParagraph">
    <w:name w:val="List Paragraph"/>
    <w:basedOn w:val="Normal"/>
    <w:uiPriority w:val="34"/>
    <w:qFormat/>
    <w:rsid w:val="004D70A0"/>
    <w:pPr>
      <w:ind w:left="720"/>
      <w:contextualSpacing/>
    </w:pPr>
  </w:style>
  <w:style w:type="paragraph" w:customStyle="1" w:styleId="Default">
    <w:name w:val="Default"/>
    <w:rsid w:val="004D70A0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Spacing">
    <w:name w:val="No Spacing"/>
    <w:uiPriority w:val="1"/>
    <w:qFormat/>
    <w:rsid w:val="009220F7"/>
    <w:pPr>
      <w:spacing w:after="0" w:line="240" w:lineRule="auto"/>
    </w:pPr>
    <w:rPr>
      <w:rFonts w:eastAsiaTheme="minorHAnsi"/>
      <w:lang w:val="sq-AL"/>
    </w:rPr>
  </w:style>
  <w:style w:type="paragraph" w:customStyle="1" w:styleId="TableParagraph">
    <w:name w:val="Table Paragraph"/>
    <w:basedOn w:val="Normal"/>
    <w:uiPriority w:val="1"/>
    <w:qFormat/>
    <w:rsid w:val="005A59B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rspanca</dc:creator>
  <cp:lastModifiedBy>Besire Dulaku</cp:lastModifiedBy>
  <cp:revision>8</cp:revision>
  <cp:lastPrinted>2021-02-03T09:39:00Z</cp:lastPrinted>
  <dcterms:created xsi:type="dcterms:W3CDTF">2022-10-11T12:34:00Z</dcterms:created>
  <dcterms:modified xsi:type="dcterms:W3CDTF">2022-10-24T13:07:00Z</dcterms:modified>
</cp:coreProperties>
</file>